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CD2A" w14:textId="74C78D5F" w:rsidR="00B035D2" w:rsidRDefault="00B035D2" w:rsidP="00B035D2">
      <w:pPr>
        <w:spacing w:after="0"/>
        <w:rPr>
          <w:rFonts w:ascii="Times New Roman" w:hAnsi="Times New Roman" w:cs="Times New Roman"/>
          <w:sz w:val="24"/>
          <w:szCs w:val="24"/>
          <w:u w:val="single"/>
        </w:rPr>
      </w:pPr>
      <w:r>
        <w:rPr>
          <w:rFonts w:ascii="Times New Roman" w:hAnsi="Times New Roman" w:cs="Times New Roman"/>
          <w:sz w:val="24"/>
          <w:szCs w:val="24"/>
        </w:rPr>
        <w:t>VIRGINIA:</w:t>
      </w:r>
      <w:r>
        <w:rPr>
          <w:rFonts w:ascii="Times New Roman" w:hAnsi="Times New Roman" w:cs="Times New Roman"/>
          <w:sz w:val="24"/>
          <w:szCs w:val="24"/>
        </w:rPr>
        <w:tab/>
      </w:r>
      <w:r>
        <w:rPr>
          <w:rFonts w:ascii="Times New Roman" w:hAnsi="Times New Roman" w:cs="Times New Roman"/>
          <w:sz w:val="24"/>
          <w:szCs w:val="24"/>
        </w:rPr>
        <w:tab/>
        <w:t>IN THE CIRCUIT COURT OF FAIRFAX COUNTY</w:t>
      </w:r>
    </w:p>
    <w:p w14:paraId="5D69F32E" w14:textId="64E37A89" w:rsidR="00D86C83" w:rsidRDefault="00D86C83" w:rsidP="00D86C83">
      <w:pPr>
        <w:spacing w:after="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0A01FE1" w14:textId="49043F45" w:rsidR="004B2963" w:rsidRPr="004B2963" w:rsidRDefault="004B2963" w:rsidP="00D86C8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6A89E87" w14:textId="5ADC3A2C" w:rsidR="009B7F06" w:rsidRDefault="009B7F06" w:rsidP="007D49F4">
      <w:pPr>
        <w:spacing w:after="0"/>
        <w:rPr>
          <w:rFonts w:ascii="Times New Roman" w:hAnsi="Times New Roman" w:cs="Times New Roman"/>
          <w:sz w:val="24"/>
          <w:szCs w:val="24"/>
        </w:rPr>
      </w:pPr>
      <w:r w:rsidRPr="00F230E2">
        <w:rPr>
          <w:rFonts w:ascii="Times New Roman" w:hAnsi="Times New Roman" w:cs="Times New Roman"/>
          <w:b/>
          <w:bCs/>
          <w:sz w:val="24"/>
          <w:szCs w:val="24"/>
        </w:rPr>
        <w:t>Sara A. McCorkle</w:t>
      </w:r>
      <w:r w:rsidRPr="009B7F06">
        <w:rPr>
          <w:rFonts w:ascii="Times New Roman" w:hAnsi="Times New Roman" w:cs="Times New Roman"/>
          <w:sz w:val="24"/>
          <w:szCs w:val="24"/>
        </w:rPr>
        <w:t>, by and through her</w:t>
      </w:r>
      <w:r w:rsidR="00050459">
        <w:rPr>
          <w:rFonts w:ascii="Times New Roman" w:hAnsi="Times New Roman" w:cs="Times New Roman"/>
          <w:sz w:val="24"/>
          <w:szCs w:val="24"/>
        </w:rPr>
        <w:tab/>
      </w:r>
      <w:r w:rsidR="00050459">
        <w:rPr>
          <w:rFonts w:ascii="Times New Roman" w:hAnsi="Times New Roman" w:cs="Times New Roman"/>
          <w:sz w:val="24"/>
          <w:szCs w:val="24"/>
        </w:rPr>
        <w:tab/>
        <w:t>)</w:t>
      </w:r>
      <w:r w:rsidR="004B2963">
        <w:rPr>
          <w:rFonts w:ascii="Times New Roman" w:hAnsi="Times New Roman" w:cs="Times New Roman"/>
          <w:sz w:val="24"/>
          <w:szCs w:val="24"/>
        </w:rPr>
        <w:tab/>
      </w:r>
      <w:r w:rsidR="004B2963">
        <w:rPr>
          <w:rFonts w:ascii="Times New Roman" w:hAnsi="Times New Roman" w:cs="Times New Roman"/>
          <w:sz w:val="24"/>
          <w:szCs w:val="24"/>
        </w:rPr>
        <w:tab/>
      </w:r>
    </w:p>
    <w:p w14:paraId="3F47AFD6" w14:textId="236B5A05" w:rsidR="007D49F4" w:rsidRDefault="007D49F4" w:rsidP="007D49F4">
      <w:pPr>
        <w:spacing w:after="0"/>
        <w:rPr>
          <w:rFonts w:ascii="Times New Roman" w:hAnsi="Times New Roman" w:cs="Times New Roman"/>
          <w:sz w:val="24"/>
          <w:szCs w:val="24"/>
        </w:rPr>
      </w:pPr>
      <w:r>
        <w:rPr>
          <w:rFonts w:ascii="Times New Roman" w:hAnsi="Times New Roman" w:cs="Times New Roman"/>
          <w:sz w:val="24"/>
          <w:szCs w:val="24"/>
        </w:rPr>
        <w:t xml:space="preserve">Next Friend, </w:t>
      </w:r>
      <w:r w:rsidR="00E828AD">
        <w:rPr>
          <w:rFonts w:ascii="Times New Roman" w:hAnsi="Times New Roman" w:cs="Times New Roman"/>
          <w:sz w:val="24"/>
          <w:szCs w:val="24"/>
        </w:rPr>
        <w:t xml:space="preserve">Allen D. </w:t>
      </w:r>
      <w:r>
        <w:rPr>
          <w:rFonts w:ascii="Times New Roman" w:hAnsi="Times New Roman" w:cs="Times New Roman"/>
          <w:sz w:val="24"/>
          <w:szCs w:val="24"/>
        </w:rPr>
        <w:t xml:space="preserve"> McCorkle</w:t>
      </w:r>
      <w:r w:rsidR="00050459">
        <w:rPr>
          <w:rFonts w:ascii="Times New Roman" w:hAnsi="Times New Roman" w:cs="Times New Roman"/>
          <w:sz w:val="24"/>
          <w:szCs w:val="24"/>
        </w:rPr>
        <w:tab/>
      </w:r>
      <w:r w:rsidR="00050459">
        <w:rPr>
          <w:rFonts w:ascii="Times New Roman" w:hAnsi="Times New Roman" w:cs="Times New Roman"/>
          <w:sz w:val="24"/>
          <w:szCs w:val="24"/>
        </w:rPr>
        <w:tab/>
      </w:r>
      <w:r w:rsidR="00E828AD">
        <w:rPr>
          <w:rFonts w:ascii="Times New Roman" w:hAnsi="Times New Roman" w:cs="Times New Roman"/>
          <w:sz w:val="24"/>
          <w:szCs w:val="24"/>
        </w:rPr>
        <w:tab/>
      </w:r>
      <w:r w:rsidR="00050459">
        <w:rPr>
          <w:rFonts w:ascii="Times New Roman" w:hAnsi="Times New Roman" w:cs="Times New Roman"/>
          <w:sz w:val="24"/>
          <w:szCs w:val="24"/>
        </w:rPr>
        <w:t>)</w:t>
      </w:r>
    </w:p>
    <w:p w14:paraId="20D15009" w14:textId="443FBF65" w:rsidR="007D49F4" w:rsidRDefault="00050459" w:rsidP="007D49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211B5F3" w14:textId="0813627A" w:rsidR="007D49F4" w:rsidRDefault="007D49F4" w:rsidP="007D49F4">
      <w:pPr>
        <w:spacing w:after="0"/>
        <w:rPr>
          <w:rFonts w:ascii="Times New Roman" w:hAnsi="Times New Roman" w:cs="Times New Roman"/>
          <w:sz w:val="24"/>
          <w:szCs w:val="24"/>
        </w:rPr>
      </w:pPr>
      <w:r>
        <w:rPr>
          <w:rFonts w:ascii="Times New Roman" w:hAnsi="Times New Roman" w:cs="Times New Roman"/>
          <w:sz w:val="24"/>
          <w:szCs w:val="24"/>
        </w:rPr>
        <w:tab/>
      </w:r>
      <w:r w:rsidR="00D83706">
        <w:rPr>
          <w:rFonts w:ascii="Times New Roman" w:hAnsi="Times New Roman" w:cs="Times New Roman"/>
          <w:sz w:val="24"/>
          <w:szCs w:val="24"/>
        </w:rPr>
        <w:tab/>
      </w:r>
      <w:r w:rsidR="0067068A">
        <w:rPr>
          <w:rFonts w:ascii="Times New Roman" w:hAnsi="Times New Roman" w:cs="Times New Roman"/>
          <w:sz w:val="24"/>
          <w:szCs w:val="24"/>
        </w:rPr>
        <w:t>Plaintiff</w:t>
      </w:r>
      <w:r w:rsidR="00050459">
        <w:rPr>
          <w:rFonts w:ascii="Times New Roman" w:hAnsi="Times New Roman" w:cs="Times New Roman"/>
          <w:sz w:val="24"/>
          <w:szCs w:val="24"/>
        </w:rPr>
        <w:tab/>
      </w:r>
      <w:r w:rsidR="00050459">
        <w:rPr>
          <w:rFonts w:ascii="Times New Roman" w:hAnsi="Times New Roman" w:cs="Times New Roman"/>
          <w:sz w:val="24"/>
          <w:szCs w:val="24"/>
        </w:rPr>
        <w:tab/>
      </w:r>
      <w:r w:rsidR="00050459">
        <w:rPr>
          <w:rFonts w:ascii="Times New Roman" w:hAnsi="Times New Roman" w:cs="Times New Roman"/>
          <w:sz w:val="24"/>
          <w:szCs w:val="24"/>
        </w:rPr>
        <w:tab/>
      </w:r>
      <w:r w:rsidR="00050459">
        <w:rPr>
          <w:rFonts w:ascii="Times New Roman" w:hAnsi="Times New Roman" w:cs="Times New Roman"/>
          <w:sz w:val="24"/>
          <w:szCs w:val="24"/>
        </w:rPr>
        <w:tab/>
        <w:t>)</w:t>
      </w:r>
    </w:p>
    <w:p w14:paraId="4BE90BD8" w14:textId="76240D42" w:rsidR="0067068A" w:rsidRDefault="00050459" w:rsidP="007D49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CA6C69C" w14:textId="3E36359C" w:rsidR="0067068A" w:rsidRDefault="0067068A" w:rsidP="007D49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w:t>
      </w:r>
      <w:r w:rsidR="00050459">
        <w:rPr>
          <w:rFonts w:ascii="Times New Roman" w:hAnsi="Times New Roman" w:cs="Times New Roman"/>
          <w:sz w:val="24"/>
          <w:szCs w:val="24"/>
        </w:rPr>
        <w:tab/>
      </w:r>
      <w:r w:rsidR="00050459">
        <w:rPr>
          <w:rFonts w:ascii="Times New Roman" w:hAnsi="Times New Roman" w:cs="Times New Roman"/>
          <w:sz w:val="24"/>
          <w:szCs w:val="24"/>
        </w:rPr>
        <w:tab/>
      </w:r>
      <w:r w:rsidR="00050459">
        <w:rPr>
          <w:rFonts w:ascii="Times New Roman" w:hAnsi="Times New Roman" w:cs="Times New Roman"/>
          <w:sz w:val="24"/>
          <w:szCs w:val="24"/>
        </w:rPr>
        <w:tab/>
      </w:r>
      <w:r w:rsidR="00050459">
        <w:rPr>
          <w:rFonts w:ascii="Times New Roman" w:hAnsi="Times New Roman" w:cs="Times New Roman"/>
          <w:sz w:val="24"/>
          <w:szCs w:val="24"/>
        </w:rPr>
        <w:tab/>
      </w:r>
      <w:r w:rsidR="00050459">
        <w:rPr>
          <w:rFonts w:ascii="Times New Roman" w:hAnsi="Times New Roman" w:cs="Times New Roman"/>
          <w:sz w:val="24"/>
          <w:szCs w:val="24"/>
        </w:rPr>
        <w:tab/>
        <w:t>)</w:t>
      </w:r>
    </w:p>
    <w:p w14:paraId="38228516" w14:textId="183BA912" w:rsidR="0067068A" w:rsidRDefault="00050459" w:rsidP="007D49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A0B93FC" w14:textId="442B6AB9" w:rsidR="008652F8" w:rsidRPr="0011386A" w:rsidRDefault="008652F8" w:rsidP="008652F8">
      <w:pPr>
        <w:spacing w:after="0"/>
        <w:rPr>
          <w:rFonts w:ascii="Times New Roman" w:hAnsi="Times New Roman" w:cs="Times New Roman"/>
          <w:sz w:val="24"/>
          <w:szCs w:val="24"/>
          <w:u w:val="single"/>
        </w:rPr>
      </w:pPr>
      <w:r w:rsidRPr="007058EF">
        <w:rPr>
          <w:rFonts w:ascii="Times New Roman" w:hAnsi="Times New Roman" w:cs="Times New Roman"/>
          <w:b/>
          <w:bCs/>
          <w:sz w:val="24"/>
          <w:szCs w:val="24"/>
        </w:rPr>
        <w:t>Erickson Senior Living LLC</w:t>
      </w:r>
      <w:r w:rsidR="00DA7D5B">
        <w:rPr>
          <w:rFonts w:ascii="Times New Roman" w:hAnsi="Times New Roman" w:cs="Times New Roman"/>
          <w:b/>
          <w:bCs/>
          <w:sz w:val="24"/>
          <w:szCs w:val="24"/>
        </w:rPr>
        <w:t xml:space="preserve">, </w:t>
      </w:r>
      <w:r w:rsidR="00DA7D5B" w:rsidRPr="00DA7D5B">
        <w:rPr>
          <w:rFonts w:ascii="Times New Roman" w:hAnsi="Times New Roman" w:cs="Times New Roman"/>
          <w:i/>
          <w:iCs/>
          <w:sz w:val="24"/>
          <w:szCs w:val="24"/>
        </w:rPr>
        <w:t>et al.</w:t>
      </w:r>
      <w:r w:rsidRPr="00DA7D5B">
        <w:rPr>
          <w:rFonts w:ascii="Times New Roman" w:hAnsi="Times New Roman" w:cs="Times New Roman"/>
          <w:i/>
          <w:iCs/>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1386A">
        <w:rPr>
          <w:rFonts w:ascii="Times New Roman" w:hAnsi="Times New Roman" w:cs="Times New Roman"/>
          <w:sz w:val="24"/>
          <w:szCs w:val="24"/>
        </w:rPr>
        <w:tab/>
      </w:r>
      <w:r w:rsidR="0011386A">
        <w:rPr>
          <w:rFonts w:ascii="Times New Roman" w:hAnsi="Times New Roman" w:cs="Times New Roman"/>
          <w:sz w:val="24"/>
          <w:szCs w:val="24"/>
        </w:rPr>
        <w:tab/>
        <w:t xml:space="preserve">Law No. </w:t>
      </w:r>
      <w:r w:rsidR="00410677">
        <w:rPr>
          <w:rFonts w:ascii="Times New Roman" w:hAnsi="Times New Roman" w:cs="Times New Roman"/>
          <w:sz w:val="24"/>
          <w:szCs w:val="24"/>
        </w:rPr>
        <w:t>CL22-4439</w:t>
      </w:r>
    </w:p>
    <w:p w14:paraId="26BEFB68" w14:textId="2CF64EFC" w:rsidR="00B94C3F" w:rsidRDefault="00B94C3F" w:rsidP="008652F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376A1">
        <w:rPr>
          <w:rFonts w:ascii="Times New Roman" w:hAnsi="Times New Roman" w:cs="Times New Roman"/>
          <w:sz w:val="24"/>
          <w:szCs w:val="24"/>
        </w:rPr>
        <w:t>Defendants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33C6AA5" w14:textId="6641B7F5" w:rsidR="00410677" w:rsidRPr="00410677" w:rsidRDefault="00410677" w:rsidP="00410677">
      <w:pPr>
        <w:spacing w:after="0"/>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w:t>
      </w:r>
    </w:p>
    <w:p w14:paraId="09464642" w14:textId="1EAD751A" w:rsidR="00B94C3F" w:rsidRDefault="00B94C3F" w:rsidP="0082071D">
      <w:pPr>
        <w:spacing w:after="0"/>
        <w:jc w:val="center"/>
        <w:rPr>
          <w:rFonts w:ascii="Times New Roman" w:hAnsi="Times New Roman" w:cs="Times New Roman"/>
          <w:b/>
          <w:bCs/>
          <w:sz w:val="28"/>
          <w:szCs w:val="28"/>
          <w:u w:val="single"/>
        </w:rPr>
      </w:pPr>
    </w:p>
    <w:p w14:paraId="7A6DBF00" w14:textId="77777777" w:rsidR="00DA7D5B" w:rsidRDefault="00410677" w:rsidP="0082071D">
      <w:pPr>
        <w:spacing w:after="0"/>
        <w:jc w:val="center"/>
        <w:rPr>
          <w:rFonts w:ascii="Times New Roman" w:hAnsi="Times New Roman" w:cs="Times New Roman"/>
          <w:b/>
          <w:bCs/>
          <w:sz w:val="28"/>
          <w:szCs w:val="28"/>
          <w:u w:val="single"/>
        </w:rPr>
      </w:pPr>
      <w:r w:rsidRPr="00410677">
        <w:rPr>
          <w:rFonts w:ascii="Times New Roman" w:hAnsi="Times New Roman" w:cs="Times New Roman"/>
          <w:b/>
          <w:bCs/>
          <w:sz w:val="28"/>
          <w:szCs w:val="28"/>
          <w:u w:val="single"/>
        </w:rPr>
        <w:t>Plaintiff’s Memorandum in</w:t>
      </w:r>
      <w:r w:rsidR="00DA7D5B">
        <w:rPr>
          <w:rFonts w:ascii="Times New Roman" w:hAnsi="Times New Roman" w:cs="Times New Roman"/>
          <w:b/>
          <w:bCs/>
          <w:sz w:val="28"/>
          <w:szCs w:val="28"/>
          <w:u w:val="single"/>
        </w:rPr>
        <w:t xml:space="preserve"> </w:t>
      </w:r>
      <w:r w:rsidRPr="00410677">
        <w:rPr>
          <w:rFonts w:ascii="Times New Roman" w:hAnsi="Times New Roman" w:cs="Times New Roman"/>
          <w:b/>
          <w:bCs/>
          <w:sz w:val="28"/>
          <w:szCs w:val="28"/>
          <w:u w:val="single"/>
        </w:rPr>
        <w:t xml:space="preserve">Opposition to </w:t>
      </w:r>
    </w:p>
    <w:p w14:paraId="35648554" w14:textId="5FD2E8DD" w:rsidR="00410677" w:rsidRPr="00410677" w:rsidRDefault="00410677" w:rsidP="0082071D">
      <w:pPr>
        <w:spacing w:after="0"/>
        <w:jc w:val="center"/>
        <w:rPr>
          <w:rFonts w:ascii="Times New Roman" w:hAnsi="Times New Roman" w:cs="Times New Roman"/>
          <w:b/>
          <w:bCs/>
          <w:sz w:val="28"/>
          <w:szCs w:val="28"/>
          <w:u w:val="single"/>
        </w:rPr>
      </w:pPr>
      <w:r w:rsidRPr="00410677">
        <w:rPr>
          <w:rFonts w:ascii="Times New Roman" w:hAnsi="Times New Roman" w:cs="Times New Roman"/>
          <w:b/>
          <w:bCs/>
          <w:sz w:val="28"/>
          <w:szCs w:val="28"/>
          <w:u w:val="single"/>
        </w:rPr>
        <w:t>Defendants</w:t>
      </w:r>
      <w:r w:rsidR="001A14BC">
        <w:rPr>
          <w:rFonts w:ascii="Times New Roman" w:hAnsi="Times New Roman" w:cs="Times New Roman"/>
          <w:b/>
          <w:bCs/>
          <w:sz w:val="28"/>
          <w:szCs w:val="28"/>
          <w:u w:val="single"/>
        </w:rPr>
        <w:t>’</w:t>
      </w:r>
      <w:r w:rsidRPr="00410677">
        <w:rPr>
          <w:rFonts w:ascii="Times New Roman" w:hAnsi="Times New Roman" w:cs="Times New Roman"/>
          <w:b/>
          <w:bCs/>
          <w:sz w:val="28"/>
          <w:szCs w:val="28"/>
          <w:u w:val="single"/>
        </w:rPr>
        <w:t xml:space="preserve"> Demurrer</w:t>
      </w:r>
      <w:r w:rsidR="00DA7D5B">
        <w:rPr>
          <w:rFonts w:ascii="Times New Roman" w:hAnsi="Times New Roman" w:cs="Times New Roman"/>
          <w:b/>
          <w:bCs/>
          <w:sz w:val="28"/>
          <w:szCs w:val="28"/>
          <w:u w:val="single"/>
        </w:rPr>
        <w:t xml:space="preserve"> </w:t>
      </w:r>
      <w:r w:rsidR="005F39E8">
        <w:rPr>
          <w:rFonts w:ascii="Times New Roman" w:hAnsi="Times New Roman" w:cs="Times New Roman"/>
          <w:b/>
          <w:bCs/>
          <w:sz w:val="28"/>
          <w:szCs w:val="28"/>
          <w:u w:val="single"/>
        </w:rPr>
        <w:t>a</w:t>
      </w:r>
      <w:r w:rsidR="00716606">
        <w:rPr>
          <w:rFonts w:ascii="Times New Roman" w:hAnsi="Times New Roman" w:cs="Times New Roman"/>
          <w:b/>
          <w:bCs/>
          <w:sz w:val="28"/>
          <w:szCs w:val="28"/>
          <w:u w:val="single"/>
        </w:rPr>
        <w:t xml:space="preserve">nd Responsive Pleadings </w:t>
      </w:r>
      <w:r w:rsidR="00ED6362">
        <w:rPr>
          <w:rFonts w:ascii="Times New Roman" w:hAnsi="Times New Roman" w:cs="Times New Roman"/>
          <w:b/>
          <w:bCs/>
          <w:sz w:val="28"/>
          <w:szCs w:val="28"/>
          <w:u w:val="single"/>
        </w:rPr>
        <w:t xml:space="preserve"> </w:t>
      </w:r>
    </w:p>
    <w:p w14:paraId="143ECAD5" w14:textId="47F80A5F" w:rsidR="00410677" w:rsidRDefault="00410677" w:rsidP="0082071D">
      <w:pPr>
        <w:spacing w:after="0"/>
        <w:jc w:val="center"/>
        <w:rPr>
          <w:rFonts w:ascii="Times New Roman" w:hAnsi="Times New Roman" w:cs="Times New Roman"/>
          <w:b/>
          <w:bCs/>
          <w:sz w:val="28"/>
          <w:szCs w:val="28"/>
          <w:u w:val="single"/>
        </w:rPr>
      </w:pPr>
    </w:p>
    <w:p w14:paraId="16C6E600" w14:textId="77777777" w:rsidR="00410677" w:rsidRPr="00FC3887" w:rsidRDefault="00410677" w:rsidP="003971BE">
      <w:pPr>
        <w:spacing w:after="0" w:line="480" w:lineRule="auto"/>
        <w:rPr>
          <w:rFonts w:ascii="Times New Roman" w:hAnsi="Times New Roman" w:cs="Times New Roman"/>
          <w:sz w:val="24"/>
          <w:szCs w:val="24"/>
        </w:rPr>
      </w:pPr>
      <w:r>
        <w:rPr>
          <w:rFonts w:ascii="Times New Roman" w:hAnsi="Times New Roman" w:cs="Times New Roman"/>
          <w:sz w:val="28"/>
          <w:szCs w:val="28"/>
        </w:rPr>
        <w:tab/>
      </w:r>
      <w:r w:rsidRPr="00FC3887">
        <w:rPr>
          <w:rFonts w:ascii="Times New Roman" w:hAnsi="Times New Roman" w:cs="Times New Roman"/>
          <w:sz w:val="24"/>
          <w:szCs w:val="24"/>
        </w:rPr>
        <w:t xml:space="preserve">COMES NOW Plaintiff, by counsel, and files, her Memorandum in Opposition to </w:t>
      </w:r>
    </w:p>
    <w:p w14:paraId="2E7B9D21" w14:textId="6FCBE9EA" w:rsidR="00B94C3F" w:rsidRPr="00FC3887" w:rsidRDefault="00410677" w:rsidP="00410677">
      <w:pPr>
        <w:spacing w:after="0"/>
        <w:rPr>
          <w:rFonts w:ascii="Times New Roman" w:hAnsi="Times New Roman" w:cs="Times New Roman"/>
          <w:sz w:val="24"/>
          <w:szCs w:val="24"/>
        </w:rPr>
      </w:pPr>
      <w:r w:rsidRPr="00FC3887">
        <w:rPr>
          <w:rFonts w:ascii="Times New Roman" w:hAnsi="Times New Roman" w:cs="Times New Roman"/>
          <w:sz w:val="24"/>
          <w:szCs w:val="24"/>
        </w:rPr>
        <w:t>Defendants</w:t>
      </w:r>
      <w:r w:rsidR="003971BE" w:rsidRPr="00FC3887">
        <w:rPr>
          <w:rFonts w:ascii="Times New Roman" w:hAnsi="Times New Roman" w:cs="Times New Roman"/>
          <w:sz w:val="24"/>
          <w:szCs w:val="24"/>
        </w:rPr>
        <w:t xml:space="preserve">’ Demurrer and </w:t>
      </w:r>
      <w:r w:rsidR="000A5C6D">
        <w:rPr>
          <w:rFonts w:ascii="Times New Roman" w:hAnsi="Times New Roman" w:cs="Times New Roman"/>
          <w:sz w:val="24"/>
          <w:szCs w:val="24"/>
        </w:rPr>
        <w:t xml:space="preserve">Responsive Pleadings, and </w:t>
      </w:r>
      <w:r w:rsidR="003971BE" w:rsidRPr="00FC3887">
        <w:rPr>
          <w:rFonts w:ascii="Times New Roman" w:hAnsi="Times New Roman" w:cs="Times New Roman"/>
          <w:sz w:val="24"/>
          <w:szCs w:val="24"/>
        </w:rPr>
        <w:t>in support thereof, states as follows:</w:t>
      </w:r>
    </w:p>
    <w:p w14:paraId="36EE0E4F" w14:textId="184B3FEB" w:rsidR="00410677" w:rsidRPr="00FC3887" w:rsidRDefault="00410677" w:rsidP="003971BE">
      <w:pPr>
        <w:spacing w:after="0"/>
        <w:rPr>
          <w:rFonts w:ascii="Times New Roman" w:hAnsi="Times New Roman" w:cs="Times New Roman"/>
          <w:sz w:val="24"/>
          <w:szCs w:val="24"/>
        </w:rPr>
      </w:pPr>
    </w:p>
    <w:p w14:paraId="19DFCA8D" w14:textId="59997371" w:rsidR="003971BE" w:rsidRPr="00FC3887" w:rsidRDefault="003971BE" w:rsidP="003971BE">
      <w:pPr>
        <w:pStyle w:val="ListParagraph"/>
        <w:numPr>
          <w:ilvl w:val="0"/>
          <w:numId w:val="27"/>
        </w:numPr>
        <w:spacing w:after="0"/>
        <w:rPr>
          <w:rFonts w:ascii="Times New Roman" w:hAnsi="Times New Roman" w:cs="Times New Roman"/>
          <w:b/>
          <w:bCs/>
          <w:sz w:val="24"/>
          <w:szCs w:val="24"/>
          <w:u w:val="single"/>
        </w:rPr>
      </w:pPr>
      <w:r w:rsidRPr="00FC3887">
        <w:rPr>
          <w:rFonts w:ascii="Times New Roman" w:hAnsi="Times New Roman" w:cs="Times New Roman"/>
          <w:b/>
          <w:bCs/>
          <w:sz w:val="24"/>
          <w:szCs w:val="24"/>
          <w:u w:val="single"/>
        </w:rPr>
        <w:t>Summary of Argument</w:t>
      </w:r>
    </w:p>
    <w:p w14:paraId="3174B428" w14:textId="5C3C51B1" w:rsidR="00FC3887" w:rsidRPr="00FC3887" w:rsidRDefault="00FC3887" w:rsidP="00FC3887">
      <w:pPr>
        <w:spacing w:after="0"/>
        <w:rPr>
          <w:rFonts w:ascii="Times New Roman" w:hAnsi="Times New Roman" w:cs="Times New Roman"/>
          <w:sz w:val="24"/>
          <w:szCs w:val="24"/>
        </w:rPr>
      </w:pPr>
    </w:p>
    <w:p w14:paraId="7270FF8B" w14:textId="6A493D8A" w:rsidR="00F23709" w:rsidRPr="00FC3887" w:rsidRDefault="00F23709" w:rsidP="00F23709">
      <w:pPr>
        <w:spacing w:after="0" w:line="480" w:lineRule="auto"/>
        <w:ind w:firstLine="720"/>
        <w:rPr>
          <w:rFonts w:ascii="Times New Roman" w:eastAsia="Times New Roman" w:hAnsi="Times New Roman" w:cs="Times New Roman"/>
          <w:sz w:val="24"/>
          <w:szCs w:val="24"/>
        </w:rPr>
      </w:pPr>
      <w:r w:rsidRPr="00FC3887">
        <w:rPr>
          <w:rFonts w:ascii="Times New Roman" w:eastAsia="Times New Roman" w:hAnsi="Times New Roman" w:cs="Times New Roman"/>
          <w:sz w:val="24"/>
          <w:szCs w:val="24"/>
        </w:rPr>
        <w:t xml:space="preserve">Virginia is a notice pleading state.  </w:t>
      </w:r>
      <w:r w:rsidR="00F376A1">
        <w:rPr>
          <w:rFonts w:ascii="Times New Roman" w:eastAsia="Times New Roman" w:hAnsi="Times New Roman" w:cs="Times New Roman"/>
          <w:sz w:val="24"/>
          <w:szCs w:val="24"/>
        </w:rPr>
        <w:t>A co</w:t>
      </w:r>
      <w:r w:rsidRPr="00FC3887">
        <w:rPr>
          <w:rFonts w:ascii="Times New Roman" w:eastAsia="Times New Roman" w:hAnsi="Times New Roman" w:cs="Times New Roman"/>
          <w:sz w:val="24"/>
          <w:szCs w:val="24"/>
        </w:rPr>
        <w:t>mplaint will survive demurrer if it is drafted so that the defendant is on notice of the nature and character of the claim.</w:t>
      </w:r>
      <w:bookmarkStart w:id="0" w:name="_Hlk16079336"/>
      <w:r w:rsidRPr="00FC3887">
        <w:rPr>
          <w:rFonts w:ascii="Times New Roman" w:eastAsia="Times New Roman" w:hAnsi="Times New Roman" w:cs="Times New Roman"/>
          <w:sz w:val="24"/>
          <w:szCs w:val="24"/>
          <w:vertAlign w:val="superscript"/>
        </w:rPr>
        <w:footnoteReference w:id="1"/>
      </w:r>
      <w:r w:rsidRPr="00FC3887">
        <w:rPr>
          <w:rFonts w:ascii="Times New Roman" w:eastAsia="Times New Roman" w:hAnsi="Times New Roman" w:cs="Times New Roman"/>
          <w:sz w:val="24"/>
          <w:szCs w:val="24"/>
        </w:rPr>
        <w:t xml:space="preserve"> </w:t>
      </w:r>
      <w:bookmarkEnd w:id="0"/>
      <w:r w:rsidRPr="00FC3887">
        <w:rPr>
          <w:rFonts w:ascii="Times New Roman" w:eastAsia="Times New Roman" w:hAnsi="Times New Roman" w:cs="Times New Roman"/>
          <w:sz w:val="24"/>
          <w:szCs w:val="24"/>
        </w:rPr>
        <w:t xml:space="preserve"> </w:t>
      </w:r>
    </w:p>
    <w:p w14:paraId="7C80B8E8" w14:textId="09D8A6B6" w:rsidR="008939CB" w:rsidRDefault="00FC3887" w:rsidP="008939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Plaintiff filed her Second Amended Complaint to add additional facts revealed in discovery which further bolster her claims of negligence, breach of contract</w:t>
      </w:r>
      <w:r w:rsidR="00F23709">
        <w:rPr>
          <w:rFonts w:ascii="Times New Roman" w:hAnsi="Times New Roman" w:cs="Times New Roman"/>
          <w:sz w:val="24"/>
          <w:szCs w:val="24"/>
        </w:rPr>
        <w:t xml:space="preserve"> </w:t>
      </w:r>
      <w:r>
        <w:rPr>
          <w:rFonts w:ascii="Times New Roman" w:hAnsi="Times New Roman" w:cs="Times New Roman"/>
          <w:sz w:val="24"/>
          <w:szCs w:val="24"/>
        </w:rPr>
        <w:t xml:space="preserve">and punitive damages.  Realizing the futility of challenging whether Plaintiff pled a viable cause of action in contract or tort, Defendants demurred only to Plaintiff’s consumer protection claim in responding to Plaintiff’s initial complaint.  </w:t>
      </w:r>
      <w:r w:rsidR="00F23709">
        <w:rPr>
          <w:rFonts w:ascii="Times New Roman" w:hAnsi="Times New Roman" w:cs="Times New Roman"/>
          <w:sz w:val="24"/>
          <w:szCs w:val="24"/>
        </w:rPr>
        <w:t xml:space="preserve">On June 24, 2022, Judge Leary overruled the demurrer, finding that Plaintiff had </w:t>
      </w:r>
      <w:r w:rsidR="000A5C6D">
        <w:rPr>
          <w:rFonts w:ascii="Times New Roman" w:hAnsi="Times New Roman" w:cs="Times New Roman"/>
          <w:sz w:val="24"/>
          <w:szCs w:val="24"/>
        </w:rPr>
        <w:t xml:space="preserve">pled sufficient facts </w:t>
      </w:r>
      <w:r w:rsidR="00F23709">
        <w:rPr>
          <w:rFonts w:ascii="Times New Roman" w:hAnsi="Times New Roman" w:cs="Times New Roman"/>
          <w:sz w:val="24"/>
          <w:szCs w:val="24"/>
        </w:rPr>
        <w:t xml:space="preserve">to make out a claim under Virginia’s Consumer Protection Act.   </w:t>
      </w:r>
      <w:r w:rsidR="008939CB">
        <w:rPr>
          <w:rFonts w:ascii="Times New Roman" w:hAnsi="Times New Roman" w:cs="Times New Roman"/>
          <w:sz w:val="24"/>
          <w:szCs w:val="24"/>
        </w:rPr>
        <w:t xml:space="preserve">With the same essential facts pled in the VCPA claim, Defendants now seek to reargue the legal issue of whether a VCPA claim can be pled in the context of an </w:t>
      </w:r>
      <w:r w:rsidR="008939CB">
        <w:rPr>
          <w:rFonts w:ascii="Times New Roman" w:hAnsi="Times New Roman" w:cs="Times New Roman"/>
          <w:sz w:val="24"/>
          <w:szCs w:val="24"/>
        </w:rPr>
        <w:lastRenderedPageBreak/>
        <w:t>assisted living negligence case.</w:t>
      </w:r>
      <w:r w:rsidR="008939CB" w:rsidRPr="008939CB">
        <w:rPr>
          <w:rStyle w:val="FootnoteReference"/>
          <w:rFonts w:cs="Times New Roman"/>
          <w:szCs w:val="24"/>
          <w:vertAlign w:val="superscript"/>
        </w:rPr>
        <w:footnoteReference w:id="2"/>
      </w:r>
      <w:r w:rsidR="008939CB" w:rsidRPr="008939CB">
        <w:rPr>
          <w:rFonts w:ascii="Times New Roman" w:hAnsi="Times New Roman" w:cs="Times New Roman"/>
          <w:sz w:val="24"/>
          <w:szCs w:val="24"/>
          <w:vertAlign w:val="superscript"/>
        </w:rPr>
        <w:t xml:space="preserve"> </w:t>
      </w:r>
      <w:r w:rsidR="008939CB">
        <w:rPr>
          <w:rFonts w:ascii="Times New Roman" w:hAnsi="Times New Roman" w:cs="Times New Roman"/>
          <w:sz w:val="24"/>
          <w:szCs w:val="24"/>
        </w:rPr>
        <w:t xml:space="preserve"> This argument, which is contrary to established case law, was </w:t>
      </w:r>
      <w:r w:rsidR="007A515F">
        <w:rPr>
          <w:rFonts w:ascii="Times New Roman" w:hAnsi="Times New Roman" w:cs="Times New Roman"/>
          <w:sz w:val="24"/>
          <w:szCs w:val="24"/>
        </w:rPr>
        <w:t xml:space="preserve">previously </w:t>
      </w:r>
      <w:r w:rsidR="008939CB">
        <w:rPr>
          <w:rFonts w:ascii="Times New Roman" w:hAnsi="Times New Roman" w:cs="Times New Roman"/>
          <w:sz w:val="24"/>
          <w:szCs w:val="24"/>
        </w:rPr>
        <w:t>rejected by the Court and is now the law of the case.</w:t>
      </w:r>
    </w:p>
    <w:p w14:paraId="19BE76B8" w14:textId="074DC1AD" w:rsidR="008939CB" w:rsidRDefault="008939CB" w:rsidP="008939CB">
      <w:pPr>
        <w:pStyle w:val="ListParagraph"/>
        <w:numPr>
          <w:ilvl w:val="0"/>
          <w:numId w:val="27"/>
        </w:numPr>
        <w:spacing w:after="0" w:line="480" w:lineRule="auto"/>
        <w:rPr>
          <w:rFonts w:ascii="Times New Roman" w:hAnsi="Times New Roman" w:cs="Times New Roman"/>
          <w:b/>
          <w:bCs/>
          <w:sz w:val="24"/>
          <w:szCs w:val="24"/>
          <w:u w:val="single"/>
        </w:rPr>
      </w:pPr>
      <w:r w:rsidRPr="008939CB">
        <w:rPr>
          <w:rFonts w:ascii="Times New Roman" w:hAnsi="Times New Roman" w:cs="Times New Roman"/>
          <w:b/>
          <w:bCs/>
          <w:sz w:val="24"/>
          <w:szCs w:val="24"/>
          <w:u w:val="single"/>
        </w:rPr>
        <w:t>Argument</w:t>
      </w:r>
    </w:p>
    <w:p w14:paraId="23E4E16E" w14:textId="58F29CBD" w:rsidR="00C069DA" w:rsidRPr="00ED6362" w:rsidRDefault="008939CB" w:rsidP="00C069DA">
      <w:pPr>
        <w:pStyle w:val="ListParagraph"/>
        <w:numPr>
          <w:ilvl w:val="0"/>
          <w:numId w:val="29"/>
        </w:numPr>
        <w:spacing w:after="0" w:line="240" w:lineRule="auto"/>
        <w:rPr>
          <w:rFonts w:ascii="Times New Roman" w:hAnsi="Times New Roman" w:cs="Times New Roman"/>
          <w:sz w:val="24"/>
          <w:szCs w:val="24"/>
          <w:u w:val="single"/>
        </w:rPr>
      </w:pPr>
      <w:r w:rsidRPr="00ED6362">
        <w:rPr>
          <w:rFonts w:ascii="Times New Roman" w:hAnsi="Times New Roman" w:cs="Times New Roman"/>
          <w:b/>
          <w:bCs/>
          <w:sz w:val="24"/>
          <w:szCs w:val="24"/>
          <w:u w:val="single"/>
        </w:rPr>
        <w:t xml:space="preserve">Numerous Courts, </w:t>
      </w:r>
      <w:r w:rsidR="006929F1" w:rsidRPr="00ED6362">
        <w:rPr>
          <w:rFonts w:ascii="Times New Roman" w:hAnsi="Times New Roman" w:cs="Times New Roman"/>
          <w:b/>
          <w:bCs/>
          <w:sz w:val="24"/>
          <w:szCs w:val="24"/>
          <w:u w:val="single"/>
        </w:rPr>
        <w:t>I</w:t>
      </w:r>
      <w:r w:rsidRPr="00ED6362">
        <w:rPr>
          <w:rFonts w:ascii="Times New Roman" w:hAnsi="Times New Roman" w:cs="Times New Roman"/>
          <w:b/>
          <w:bCs/>
          <w:sz w:val="24"/>
          <w:szCs w:val="24"/>
          <w:u w:val="single"/>
        </w:rPr>
        <w:t xml:space="preserve">ncluding </w:t>
      </w:r>
      <w:r w:rsidR="00AC4FEB" w:rsidRPr="00ED6362">
        <w:rPr>
          <w:rFonts w:ascii="Times New Roman" w:hAnsi="Times New Roman" w:cs="Times New Roman"/>
          <w:b/>
          <w:bCs/>
          <w:sz w:val="24"/>
          <w:szCs w:val="24"/>
          <w:u w:val="single"/>
        </w:rPr>
        <w:t>t</w:t>
      </w:r>
      <w:r w:rsidRPr="00ED6362">
        <w:rPr>
          <w:rFonts w:ascii="Times New Roman" w:hAnsi="Times New Roman" w:cs="Times New Roman"/>
          <w:b/>
          <w:bCs/>
          <w:sz w:val="24"/>
          <w:szCs w:val="24"/>
          <w:u w:val="single"/>
        </w:rPr>
        <w:t xml:space="preserve">his </w:t>
      </w:r>
      <w:r w:rsidR="000B4BCD" w:rsidRPr="00ED6362">
        <w:rPr>
          <w:rFonts w:ascii="Times New Roman" w:hAnsi="Times New Roman" w:cs="Times New Roman"/>
          <w:b/>
          <w:bCs/>
          <w:sz w:val="24"/>
          <w:szCs w:val="24"/>
          <w:u w:val="single"/>
        </w:rPr>
        <w:t>One</w:t>
      </w:r>
      <w:r w:rsidRPr="00ED6362">
        <w:rPr>
          <w:rFonts w:ascii="Times New Roman" w:hAnsi="Times New Roman" w:cs="Times New Roman"/>
          <w:b/>
          <w:bCs/>
          <w:sz w:val="24"/>
          <w:szCs w:val="24"/>
          <w:u w:val="single"/>
        </w:rPr>
        <w:t xml:space="preserve">, </w:t>
      </w:r>
      <w:r w:rsidR="006929F1" w:rsidRPr="00ED6362">
        <w:rPr>
          <w:rFonts w:ascii="Times New Roman" w:hAnsi="Times New Roman" w:cs="Times New Roman"/>
          <w:b/>
          <w:bCs/>
          <w:sz w:val="24"/>
          <w:szCs w:val="24"/>
          <w:u w:val="single"/>
        </w:rPr>
        <w:t>H</w:t>
      </w:r>
      <w:r w:rsidRPr="00ED6362">
        <w:rPr>
          <w:rFonts w:ascii="Times New Roman" w:hAnsi="Times New Roman" w:cs="Times New Roman"/>
          <w:b/>
          <w:bCs/>
          <w:sz w:val="24"/>
          <w:szCs w:val="24"/>
          <w:u w:val="single"/>
        </w:rPr>
        <w:t xml:space="preserve">ave </w:t>
      </w:r>
      <w:r w:rsidR="006929F1" w:rsidRPr="00ED6362">
        <w:rPr>
          <w:rFonts w:ascii="Times New Roman" w:hAnsi="Times New Roman" w:cs="Times New Roman"/>
          <w:b/>
          <w:bCs/>
          <w:sz w:val="24"/>
          <w:szCs w:val="24"/>
          <w:u w:val="single"/>
        </w:rPr>
        <w:t>H</w:t>
      </w:r>
      <w:r w:rsidRPr="00ED6362">
        <w:rPr>
          <w:rFonts w:ascii="Times New Roman" w:hAnsi="Times New Roman" w:cs="Times New Roman"/>
          <w:b/>
          <w:bCs/>
          <w:sz w:val="24"/>
          <w:szCs w:val="24"/>
          <w:u w:val="single"/>
        </w:rPr>
        <w:t xml:space="preserve">eld that a Virginia Consumer Protection Claim </w:t>
      </w:r>
      <w:r w:rsidR="00AC4FEB" w:rsidRPr="00ED6362">
        <w:rPr>
          <w:rFonts w:ascii="Times New Roman" w:hAnsi="Times New Roman" w:cs="Times New Roman"/>
          <w:b/>
          <w:bCs/>
          <w:sz w:val="24"/>
          <w:szCs w:val="24"/>
          <w:u w:val="single"/>
        </w:rPr>
        <w:t>C</w:t>
      </w:r>
      <w:r w:rsidRPr="00ED6362">
        <w:rPr>
          <w:rFonts w:ascii="Times New Roman" w:hAnsi="Times New Roman" w:cs="Times New Roman"/>
          <w:b/>
          <w:bCs/>
          <w:sz w:val="24"/>
          <w:szCs w:val="24"/>
          <w:u w:val="single"/>
        </w:rPr>
        <w:t xml:space="preserve">an be </w:t>
      </w:r>
      <w:r w:rsidR="006929F1" w:rsidRPr="00ED6362">
        <w:rPr>
          <w:rFonts w:ascii="Times New Roman" w:hAnsi="Times New Roman" w:cs="Times New Roman"/>
          <w:b/>
          <w:bCs/>
          <w:sz w:val="24"/>
          <w:szCs w:val="24"/>
          <w:u w:val="single"/>
        </w:rPr>
        <w:t>A</w:t>
      </w:r>
      <w:r w:rsidRPr="00ED6362">
        <w:rPr>
          <w:rFonts w:ascii="Times New Roman" w:hAnsi="Times New Roman" w:cs="Times New Roman"/>
          <w:b/>
          <w:bCs/>
          <w:sz w:val="24"/>
          <w:szCs w:val="24"/>
          <w:u w:val="single"/>
        </w:rPr>
        <w:t xml:space="preserve">sserted </w:t>
      </w:r>
      <w:r w:rsidR="006929F1" w:rsidRPr="00ED6362">
        <w:rPr>
          <w:rFonts w:ascii="Times New Roman" w:hAnsi="Times New Roman" w:cs="Times New Roman"/>
          <w:b/>
          <w:bCs/>
          <w:sz w:val="24"/>
          <w:szCs w:val="24"/>
          <w:u w:val="single"/>
        </w:rPr>
        <w:t>A</w:t>
      </w:r>
      <w:r w:rsidRPr="00ED6362">
        <w:rPr>
          <w:rFonts w:ascii="Times New Roman" w:hAnsi="Times New Roman" w:cs="Times New Roman"/>
          <w:b/>
          <w:bCs/>
          <w:sz w:val="24"/>
          <w:szCs w:val="24"/>
          <w:u w:val="single"/>
        </w:rPr>
        <w:t xml:space="preserve">gainst </w:t>
      </w:r>
      <w:r w:rsidR="006929F1" w:rsidRPr="00ED6362">
        <w:rPr>
          <w:rFonts w:ascii="Times New Roman" w:hAnsi="Times New Roman" w:cs="Times New Roman"/>
          <w:b/>
          <w:bCs/>
          <w:sz w:val="24"/>
          <w:szCs w:val="24"/>
          <w:u w:val="single"/>
        </w:rPr>
        <w:t>H</w:t>
      </w:r>
      <w:r w:rsidRPr="00ED6362">
        <w:rPr>
          <w:rFonts w:ascii="Times New Roman" w:hAnsi="Times New Roman" w:cs="Times New Roman"/>
          <w:b/>
          <w:bCs/>
          <w:sz w:val="24"/>
          <w:szCs w:val="24"/>
          <w:u w:val="single"/>
        </w:rPr>
        <w:t xml:space="preserve">ealthcare </w:t>
      </w:r>
      <w:r w:rsidR="006929F1" w:rsidRPr="00ED6362">
        <w:rPr>
          <w:rFonts w:ascii="Times New Roman" w:hAnsi="Times New Roman" w:cs="Times New Roman"/>
          <w:b/>
          <w:bCs/>
          <w:sz w:val="24"/>
          <w:szCs w:val="24"/>
          <w:u w:val="single"/>
        </w:rPr>
        <w:t>P</w:t>
      </w:r>
      <w:r w:rsidRPr="00ED6362">
        <w:rPr>
          <w:rFonts w:ascii="Times New Roman" w:hAnsi="Times New Roman" w:cs="Times New Roman"/>
          <w:b/>
          <w:bCs/>
          <w:sz w:val="24"/>
          <w:szCs w:val="24"/>
          <w:u w:val="single"/>
        </w:rPr>
        <w:t>roviders</w:t>
      </w:r>
    </w:p>
    <w:p w14:paraId="468DC52E" w14:textId="77777777" w:rsidR="00C069DA" w:rsidRDefault="00C069DA" w:rsidP="00C069DA">
      <w:pPr>
        <w:spacing w:after="0" w:line="240" w:lineRule="auto"/>
        <w:rPr>
          <w:rFonts w:ascii="Times New Roman" w:hAnsi="Times New Roman" w:cs="Times New Roman"/>
          <w:sz w:val="24"/>
          <w:szCs w:val="24"/>
        </w:rPr>
      </w:pPr>
    </w:p>
    <w:p w14:paraId="41D51F7F" w14:textId="0F620EB7" w:rsidR="00C069DA" w:rsidRPr="007A515F" w:rsidRDefault="00AC4FEB" w:rsidP="002A32EF">
      <w:pPr>
        <w:widowControl w:val="0"/>
        <w:suppressAutoHyphens/>
        <w:spacing w:after="0" w:line="480" w:lineRule="auto"/>
        <w:ind w:right="-187"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Healthcare providers have no immunity from claims that are not premised on malpractice.  </w:t>
      </w:r>
      <w:r w:rsidR="00C069DA" w:rsidRPr="00C069DA">
        <w:rPr>
          <w:rFonts w:ascii="Times New Roman" w:eastAsia="Calibri" w:hAnsi="Times New Roman" w:cs="Times New Roman"/>
          <w:sz w:val="24"/>
          <w:szCs w:val="24"/>
        </w:rPr>
        <w:t xml:space="preserve">In </w:t>
      </w:r>
      <w:r w:rsidR="00C069DA" w:rsidRPr="00C069DA">
        <w:rPr>
          <w:rFonts w:ascii="Times New Roman" w:eastAsia="Calibri" w:hAnsi="Times New Roman" w:cs="Times New Roman"/>
          <w:i/>
          <w:sz w:val="24"/>
          <w:szCs w:val="24"/>
        </w:rPr>
        <w:t>Humphrey v. Leewood Healthcare Center</w:t>
      </w:r>
      <w:r w:rsidR="00C069DA" w:rsidRPr="00C069DA">
        <w:rPr>
          <w:rFonts w:ascii="Times New Roman" w:eastAsia="Calibri" w:hAnsi="Times New Roman" w:cs="Times New Roman"/>
          <w:sz w:val="24"/>
          <w:szCs w:val="24"/>
        </w:rPr>
        <w:t xml:space="preserve">, Plaintiff pursued a VCPA claim based on Plaintiff’s elopement from a skilled nursing facility. 73 Va. Cir. 346 (Fairfax </w:t>
      </w:r>
      <w:proofErr w:type="gramStart"/>
      <w:r w:rsidR="00C069DA" w:rsidRPr="00C069DA">
        <w:rPr>
          <w:rFonts w:ascii="Times New Roman" w:eastAsia="Calibri" w:hAnsi="Times New Roman" w:cs="Times New Roman"/>
          <w:sz w:val="24"/>
          <w:szCs w:val="24"/>
        </w:rPr>
        <w:t>2007)(</w:t>
      </w:r>
      <w:proofErr w:type="spellStart"/>
      <w:proofErr w:type="gramEnd"/>
      <w:r w:rsidR="00C069DA" w:rsidRPr="00C069DA">
        <w:rPr>
          <w:rFonts w:ascii="Times New Roman" w:eastAsia="Calibri" w:hAnsi="Times New Roman" w:cs="Times New Roman"/>
          <w:sz w:val="24"/>
          <w:szCs w:val="24"/>
        </w:rPr>
        <w:t>Exh</w:t>
      </w:r>
      <w:proofErr w:type="spellEnd"/>
      <w:r w:rsidR="00C069DA" w:rsidRPr="00C069DA">
        <w:rPr>
          <w:rFonts w:ascii="Times New Roman" w:eastAsia="Calibri" w:hAnsi="Times New Roman" w:cs="Times New Roman"/>
          <w:sz w:val="24"/>
          <w:szCs w:val="24"/>
        </w:rPr>
        <w:t xml:space="preserve">. No. </w:t>
      </w:r>
      <w:r w:rsidR="00C069DA">
        <w:rPr>
          <w:rFonts w:ascii="Times New Roman" w:eastAsia="Calibri" w:hAnsi="Times New Roman" w:cs="Times New Roman"/>
          <w:sz w:val="24"/>
          <w:szCs w:val="24"/>
        </w:rPr>
        <w:t>1</w:t>
      </w:r>
      <w:r>
        <w:rPr>
          <w:rFonts w:ascii="Times New Roman" w:eastAsia="Calibri" w:hAnsi="Times New Roman" w:cs="Times New Roman"/>
          <w:sz w:val="24"/>
          <w:szCs w:val="24"/>
        </w:rPr>
        <w:t>).</w:t>
      </w:r>
      <w:r w:rsidR="00C069DA" w:rsidRPr="00C069DA">
        <w:rPr>
          <w:rFonts w:ascii="Times New Roman" w:eastAsia="Calibri" w:hAnsi="Times New Roman" w:cs="Times New Roman"/>
          <w:sz w:val="24"/>
          <w:szCs w:val="24"/>
        </w:rPr>
        <w:t xml:space="preserve">  Th</w:t>
      </w:r>
      <w:r w:rsidR="006929F1">
        <w:rPr>
          <w:rFonts w:ascii="Times New Roman" w:eastAsia="Calibri" w:hAnsi="Times New Roman" w:cs="Times New Roman"/>
          <w:sz w:val="24"/>
          <w:szCs w:val="24"/>
        </w:rPr>
        <w:t>is</w:t>
      </w:r>
      <w:r w:rsidR="00C069DA" w:rsidRPr="00C069DA">
        <w:rPr>
          <w:rFonts w:ascii="Times New Roman" w:eastAsia="Calibri" w:hAnsi="Times New Roman" w:cs="Times New Roman"/>
          <w:sz w:val="24"/>
          <w:szCs w:val="24"/>
        </w:rPr>
        <w:t xml:space="preserve"> Court found that nursing home care could constitute a service, sufficient to bring it under the scope of the VCPA</w:t>
      </w:r>
      <w:r w:rsidR="00C069DA">
        <w:rPr>
          <w:rFonts w:ascii="Times New Roman" w:eastAsia="Calibri" w:hAnsi="Times New Roman" w:cs="Times New Roman"/>
          <w:sz w:val="24"/>
          <w:szCs w:val="24"/>
        </w:rPr>
        <w:t>.</w:t>
      </w:r>
      <w:r w:rsidR="00C069DA" w:rsidRPr="00C069DA">
        <w:rPr>
          <w:rFonts w:ascii="Times New Roman" w:eastAsia="Calibri" w:hAnsi="Times New Roman" w:cs="Times New Roman"/>
          <w:sz w:val="24"/>
          <w:szCs w:val="24"/>
          <w:vertAlign w:val="superscript"/>
        </w:rPr>
        <w:footnoteReference w:id="3"/>
      </w:r>
      <w:r w:rsidR="00C069DA" w:rsidRPr="00C069DA">
        <w:rPr>
          <w:rFonts w:ascii="Times New Roman" w:eastAsia="Calibri" w:hAnsi="Times New Roman" w:cs="Times New Roman"/>
          <w:sz w:val="24"/>
          <w:szCs w:val="24"/>
        </w:rPr>
        <w:t xml:space="preserve">  The Court also found </w:t>
      </w:r>
      <w:r w:rsidR="009B4457">
        <w:rPr>
          <w:rFonts w:ascii="Times New Roman" w:eastAsia="Calibri" w:hAnsi="Times New Roman" w:cs="Times New Roman"/>
          <w:sz w:val="24"/>
          <w:szCs w:val="24"/>
        </w:rPr>
        <w:t xml:space="preserve">that </w:t>
      </w:r>
      <w:r w:rsidR="00C069DA" w:rsidRPr="00C069DA">
        <w:rPr>
          <w:rFonts w:ascii="Times New Roman" w:eastAsia="Calibri" w:hAnsi="Times New Roman" w:cs="Times New Roman"/>
          <w:sz w:val="24"/>
          <w:szCs w:val="24"/>
        </w:rPr>
        <w:t>Plaintiff’s claim was not barred because of nursing home regulations that authorized the conduct at issue, including the V</w:t>
      </w:r>
      <w:r w:rsidR="00DA7D5B">
        <w:rPr>
          <w:rFonts w:ascii="Times New Roman" w:eastAsia="Calibri" w:hAnsi="Times New Roman" w:cs="Times New Roman"/>
          <w:sz w:val="24"/>
          <w:szCs w:val="24"/>
        </w:rPr>
        <w:t xml:space="preserve">irginia Medical Malpractice Act. (VMA). </w:t>
      </w:r>
      <w:r w:rsidR="007A351A">
        <w:rPr>
          <w:rFonts w:ascii="Times New Roman" w:eastAsia="Calibri" w:hAnsi="Times New Roman" w:cs="Times New Roman"/>
          <w:sz w:val="24"/>
          <w:szCs w:val="24"/>
        </w:rPr>
        <w:t xml:space="preserve"> Consistent with </w:t>
      </w:r>
      <w:r w:rsidR="007A351A" w:rsidRPr="007A351A">
        <w:rPr>
          <w:rFonts w:ascii="Times New Roman" w:eastAsia="Calibri" w:hAnsi="Times New Roman" w:cs="Times New Roman"/>
          <w:i/>
          <w:iCs/>
          <w:sz w:val="24"/>
          <w:szCs w:val="24"/>
        </w:rPr>
        <w:t>Humphrey</w:t>
      </w:r>
      <w:r w:rsidR="007A351A">
        <w:rPr>
          <w:rFonts w:ascii="Times New Roman" w:eastAsia="Calibri" w:hAnsi="Times New Roman" w:cs="Times New Roman"/>
          <w:sz w:val="24"/>
          <w:szCs w:val="24"/>
        </w:rPr>
        <w:t xml:space="preserve">, this court has </w:t>
      </w:r>
      <w:r w:rsidR="000A5C6D">
        <w:rPr>
          <w:rFonts w:ascii="Times New Roman" w:eastAsia="Calibri" w:hAnsi="Times New Roman" w:cs="Times New Roman"/>
          <w:sz w:val="24"/>
          <w:szCs w:val="24"/>
        </w:rPr>
        <w:t xml:space="preserve">also </w:t>
      </w:r>
      <w:r w:rsidR="007A351A">
        <w:rPr>
          <w:rFonts w:ascii="Times New Roman" w:eastAsia="Calibri" w:hAnsi="Times New Roman" w:cs="Times New Roman"/>
          <w:sz w:val="24"/>
          <w:szCs w:val="24"/>
        </w:rPr>
        <w:t xml:space="preserve">held that </w:t>
      </w:r>
      <w:r w:rsidR="000A5C6D">
        <w:rPr>
          <w:rFonts w:ascii="Times New Roman" w:eastAsia="Calibri" w:hAnsi="Times New Roman" w:cs="Times New Roman"/>
          <w:sz w:val="24"/>
          <w:szCs w:val="24"/>
        </w:rPr>
        <w:t xml:space="preserve">a </w:t>
      </w:r>
      <w:r w:rsidR="007A351A">
        <w:rPr>
          <w:rFonts w:ascii="Times New Roman" w:eastAsia="Calibri" w:hAnsi="Times New Roman" w:cs="Times New Roman"/>
          <w:sz w:val="24"/>
          <w:szCs w:val="24"/>
        </w:rPr>
        <w:t>Plaintiff could pursue separate fraud claims in medical malpractice cases.</w:t>
      </w:r>
      <w:r w:rsidR="007A351A" w:rsidRPr="002A32EF">
        <w:rPr>
          <w:rStyle w:val="FootnoteReference"/>
          <w:rFonts w:eastAsia="Calibri" w:cs="Times New Roman"/>
          <w:szCs w:val="24"/>
          <w:vertAlign w:val="superscript"/>
        </w:rPr>
        <w:footnoteReference w:id="4"/>
      </w:r>
      <w:r w:rsidR="007A351A" w:rsidRPr="002A32EF">
        <w:rPr>
          <w:rFonts w:ascii="Times New Roman" w:eastAsia="Calibri" w:hAnsi="Times New Roman" w:cs="Times New Roman"/>
          <w:sz w:val="24"/>
          <w:szCs w:val="24"/>
          <w:vertAlign w:val="superscript"/>
        </w:rPr>
        <w:t xml:space="preserve"> </w:t>
      </w:r>
    </w:p>
    <w:p w14:paraId="7D59B083" w14:textId="59C591C0" w:rsidR="00C069DA" w:rsidRDefault="005F39E8" w:rsidP="00C069DA">
      <w:pPr>
        <w:widowControl w:val="0"/>
        <w:suppressAutoHyphens/>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C069DA" w:rsidRPr="00C069DA">
        <w:rPr>
          <w:rFonts w:ascii="Times New Roman" w:eastAsia="Calibri" w:hAnsi="Times New Roman" w:cs="Times New Roman"/>
          <w:sz w:val="24"/>
          <w:szCs w:val="24"/>
        </w:rPr>
        <w:t xml:space="preserve">n </w:t>
      </w:r>
      <w:r w:rsidR="00C069DA" w:rsidRPr="00C069DA">
        <w:rPr>
          <w:rFonts w:ascii="Times New Roman" w:eastAsia="Calibri" w:hAnsi="Times New Roman" w:cs="Times New Roman"/>
          <w:i/>
          <w:sz w:val="24"/>
          <w:szCs w:val="24"/>
        </w:rPr>
        <w:t>Beaty v. Manor Care, Inc.</w:t>
      </w:r>
      <w:r w:rsidR="00C069DA" w:rsidRPr="00C069DA">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Court found </w:t>
      </w:r>
      <w:r w:rsidR="00C069DA" w:rsidRPr="00C069DA">
        <w:rPr>
          <w:rFonts w:ascii="Times New Roman" w:eastAsia="Calibri" w:hAnsi="Times New Roman" w:cs="Times New Roman"/>
          <w:sz w:val="24"/>
          <w:szCs w:val="24"/>
        </w:rPr>
        <w:t>that a VCPA claim was stated against an assisted living facility that failed to protect a resident from an assault.</w:t>
      </w:r>
      <w:r w:rsidR="00C069DA" w:rsidRPr="00C069DA">
        <w:rPr>
          <w:rFonts w:ascii="Times New Roman" w:eastAsia="Calibri" w:hAnsi="Times New Roman" w:cs="Times New Roman"/>
          <w:sz w:val="24"/>
          <w:szCs w:val="24"/>
          <w:vertAlign w:val="superscript"/>
        </w:rPr>
        <w:t xml:space="preserve"> </w:t>
      </w:r>
      <w:r w:rsidR="00C069DA" w:rsidRPr="00C069DA">
        <w:rPr>
          <w:rFonts w:ascii="Times New Roman" w:eastAsia="Calibri" w:hAnsi="Times New Roman" w:cs="Times New Roman"/>
          <w:sz w:val="24"/>
          <w:szCs w:val="24"/>
        </w:rPr>
        <w:t xml:space="preserve">2003 WL 24902409 (E.D. Va. </w:t>
      </w:r>
      <w:proofErr w:type="gramStart"/>
      <w:r w:rsidR="00C069DA" w:rsidRPr="00C069DA">
        <w:rPr>
          <w:rFonts w:ascii="Times New Roman" w:eastAsia="Calibri" w:hAnsi="Times New Roman" w:cs="Times New Roman"/>
          <w:sz w:val="24"/>
          <w:szCs w:val="24"/>
        </w:rPr>
        <w:t>2003)(</w:t>
      </w:r>
      <w:proofErr w:type="spellStart"/>
      <w:proofErr w:type="gramEnd"/>
      <w:r w:rsidR="00C069DA" w:rsidRPr="00C069DA">
        <w:rPr>
          <w:rFonts w:ascii="Times New Roman" w:eastAsia="Calibri" w:hAnsi="Times New Roman" w:cs="Times New Roman"/>
          <w:sz w:val="24"/>
          <w:szCs w:val="24"/>
        </w:rPr>
        <w:t>Exh</w:t>
      </w:r>
      <w:proofErr w:type="spellEnd"/>
      <w:r w:rsidR="00C069DA" w:rsidRPr="00C069DA">
        <w:rPr>
          <w:rFonts w:ascii="Times New Roman" w:eastAsia="Calibri" w:hAnsi="Times New Roman" w:cs="Times New Roman"/>
          <w:sz w:val="24"/>
          <w:szCs w:val="24"/>
        </w:rPr>
        <w:t xml:space="preserve">. No. </w:t>
      </w:r>
      <w:r w:rsidR="000A5C6D">
        <w:rPr>
          <w:rFonts w:ascii="Times New Roman" w:eastAsia="Calibri" w:hAnsi="Times New Roman" w:cs="Times New Roman"/>
          <w:sz w:val="24"/>
          <w:szCs w:val="24"/>
        </w:rPr>
        <w:t>2</w:t>
      </w:r>
      <w:r w:rsidR="00C069DA" w:rsidRPr="00C069DA">
        <w:rPr>
          <w:rFonts w:ascii="Times New Roman" w:eastAsia="Calibri" w:hAnsi="Times New Roman" w:cs="Times New Roman"/>
          <w:sz w:val="24"/>
          <w:szCs w:val="24"/>
        </w:rPr>
        <w:t xml:space="preserve">).  In </w:t>
      </w:r>
      <w:r w:rsidR="00C069DA" w:rsidRPr="00C069DA">
        <w:rPr>
          <w:rFonts w:ascii="Times New Roman" w:eastAsia="Calibri" w:hAnsi="Times New Roman" w:cs="Times New Roman"/>
          <w:i/>
          <w:sz w:val="24"/>
          <w:szCs w:val="24"/>
        </w:rPr>
        <w:t>Beaty</w:t>
      </w:r>
      <w:r w:rsidR="00C069DA" w:rsidRPr="00C069DA">
        <w:rPr>
          <w:rFonts w:ascii="Times New Roman" w:eastAsia="Calibri" w:hAnsi="Times New Roman" w:cs="Times New Roman"/>
          <w:sz w:val="24"/>
          <w:szCs w:val="24"/>
        </w:rPr>
        <w:t xml:space="preserve">, Defendants made </w:t>
      </w:r>
      <w:r w:rsidR="00C069DA">
        <w:rPr>
          <w:rFonts w:ascii="Times New Roman" w:eastAsia="Calibri" w:hAnsi="Times New Roman" w:cs="Times New Roman"/>
          <w:sz w:val="24"/>
          <w:szCs w:val="24"/>
        </w:rPr>
        <w:t xml:space="preserve">similar </w:t>
      </w:r>
      <w:r w:rsidR="00C069DA" w:rsidRPr="00C069DA">
        <w:rPr>
          <w:rFonts w:ascii="Times New Roman" w:eastAsia="Calibri" w:hAnsi="Times New Roman" w:cs="Times New Roman"/>
          <w:sz w:val="24"/>
          <w:szCs w:val="24"/>
        </w:rPr>
        <w:t xml:space="preserve">arguments that Defendants make here: that as an assisted-living facility regulated by the Virginia Department of Social Services, it is exempt from the VCPA under </w:t>
      </w:r>
      <w:r w:rsidR="00C069DA" w:rsidRPr="00C069DA">
        <w:rPr>
          <w:rFonts w:ascii="Times New Roman" w:eastAsia="Calibri" w:hAnsi="Times New Roman" w:cs="Times New Roman"/>
          <w:i/>
          <w:sz w:val="24"/>
          <w:szCs w:val="24"/>
        </w:rPr>
        <w:t xml:space="preserve">Va. Code </w:t>
      </w:r>
      <w:r w:rsidR="00C069DA" w:rsidRPr="00C069DA">
        <w:rPr>
          <w:rFonts w:ascii="Times New Roman" w:eastAsia="Calibri" w:hAnsi="Times New Roman" w:cs="Times New Roman"/>
          <w:bCs/>
          <w:i/>
          <w:sz w:val="24"/>
          <w:szCs w:val="24"/>
        </w:rPr>
        <w:t xml:space="preserve">§ </w:t>
      </w:r>
      <w:r w:rsidR="00C069DA" w:rsidRPr="00C069DA">
        <w:rPr>
          <w:rFonts w:ascii="Times New Roman" w:eastAsia="Calibri" w:hAnsi="Times New Roman" w:cs="Times New Roman"/>
          <w:i/>
          <w:sz w:val="24"/>
          <w:szCs w:val="24"/>
        </w:rPr>
        <w:t xml:space="preserve">59.1-199(A). </w:t>
      </w:r>
      <w:r w:rsidR="00C069DA" w:rsidRPr="00C069DA">
        <w:rPr>
          <w:rFonts w:ascii="Times New Roman" w:eastAsia="Calibri" w:hAnsi="Times New Roman" w:cs="Times New Roman"/>
          <w:sz w:val="24"/>
          <w:szCs w:val="24"/>
        </w:rPr>
        <w:t xml:space="preserve"> The </w:t>
      </w:r>
      <w:r w:rsidR="00C069DA" w:rsidRPr="00C069DA">
        <w:rPr>
          <w:rFonts w:ascii="Times New Roman" w:eastAsia="Calibri" w:hAnsi="Times New Roman" w:cs="Times New Roman"/>
          <w:i/>
          <w:sz w:val="24"/>
          <w:szCs w:val="24"/>
        </w:rPr>
        <w:t xml:space="preserve">Beaty </w:t>
      </w:r>
      <w:r w:rsidR="00C069DA" w:rsidRPr="00C069DA">
        <w:rPr>
          <w:rFonts w:ascii="Times New Roman" w:eastAsia="Calibri" w:hAnsi="Times New Roman" w:cs="Times New Roman"/>
          <w:sz w:val="24"/>
          <w:szCs w:val="24"/>
        </w:rPr>
        <w:t xml:space="preserve">Court held that while </w:t>
      </w:r>
      <w:r w:rsidR="00C069DA" w:rsidRPr="00C069DA">
        <w:rPr>
          <w:rFonts w:ascii="Times New Roman" w:eastAsia="Calibri" w:hAnsi="Times New Roman" w:cs="Times New Roman"/>
          <w:i/>
          <w:sz w:val="24"/>
          <w:szCs w:val="24"/>
        </w:rPr>
        <w:t xml:space="preserve">Va. </w:t>
      </w:r>
      <w:r w:rsidR="00C069DA" w:rsidRPr="00C069DA">
        <w:rPr>
          <w:rFonts w:ascii="Times New Roman" w:eastAsia="Calibri" w:hAnsi="Times New Roman" w:cs="Times New Roman"/>
          <w:bCs/>
          <w:i/>
          <w:sz w:val="24"/>
          <w:szCs w:val="24"/>
        </w:rPr>
        <w:t xml:space="preserve">§ </w:t>
      </w:r>
      <w:r w:rsidR="00C069DA" w:rsidRPr="00C069DA">
        <w:rPr>
          <w:rFonts w:ascii="Times New Roman" w:eastAsia="Calibri" w:hAnsi="Times New Roman" w:cs="Times New Roman"/>
          <w:i/>
          <w:sz w:val="24"/>
          <w:szCs w:val="24"/>
        </w:rPr>
        <w:lastRenderedPageBreak/>
        <w:t>59.1-199(A)</w:t>
      </w:r>
      <w:r w:rsidR="00C069DA" w:rsidRPr="00C069DA">
        <w:rPr>
          <w:rFonts w:ascii="Times New Roman" w:eastAsia="Calibri" w:hAnsi="Times New Roman" w:cs="Times New Roman"/>
          <w:sz w:val="24"/>
          <w:szCs w:val="24"/>
        </w:rPr>
        <w:t xml:space="preserve"> exempts claims arising from certain transactions that are already covered by Virginia or Federal law, it did not exempt entire industries from the VCPA.  </w:t>
      </w:r>
      <w:r w:rsidR="00C069DA" w:rsidRPr="00C069DA">
        <w:rPr>
          <w:rFonts w:ascii="Times New Roman" w:eastAsia="Calibri" w:hAnsi="Times New Roman" w:cs="Times New Roman"/>
          <w:i/>
          <w:sz w:val="24"/>
          <w:szCs w:val="24"/>
        </w:rPr>
        <w:t>Id</w:t>
      </w:r>
      <w:r w:rsidR="00C069DA" w:rsidRPr="00C069DA">
        <w:rPr>
          <w:rFonts w:ascii="Times New Roman" w:eastAsia="Calibri" w:hAnsi="Times New Roman" w:cs="Times New Roman"/>
          <w:sz w:val="24"/>
          <w:szCs w:val="24"/>
        </w:rPr>
        <w:t>.</w:t>
      </w:r>
      <w:r w:rsidR="00F376A1" w:rsidRPr="005F39E8">
        <w:rPr>
          <w:rStyle w:val="FootnoteReference"/>
          <w:rFonts w:eastAsia="Calibri" w:cs="Times New Roman"/>
          <w:szCs w:val="24"/>
          <w:vertAlign w:val="superscript"/>
        </w:rPr>
        <w:footnoteReference w:id="5"/>
      </w:r>
      <w:r w:rsidR="00C069DA" w:rsidRPr="00C069DA">
        <w:rPr>
          <w:rFonts w:ascii="Times New Roman" w:eastAsia="Calibri" w:hAnsi="Times New Roman" w:cs="Times New Roman"/>
          <w:sz w:val="24"/>
          <w:szCs w:val="24"/>
        </w:rPr>
        <w:t xml:space="preserve"> </w:t>
      </w:r>
    </w:p>
    <w:p w14:paraId="09D88DA0" w14:textId="49B31839" w:rsidR="00484378" w:rsidRPr="005F39E8" w:rsidRDefault="00C069DA" w:rsidP="005F39E8">
      <w:pPr>
        <w:pStyle w:val="ListParagraph"/>
        <w:widowControl w:val="0"/>
        <w:numPr>
          <w:ilvl w:val="0"/>
          <w:numId w:val="34"/>
        </w:numPr>
        <w:suppressAutoHyphens/>
        <w:spacing w:after="0" w:line="480" w:lineRule="auto"/>
        <w:jc w:val="both"/>
        <w:rPr>
          <w:rFonts w:ascii="Times New Roman" w:eastAsia="Calibri" w:hAnsi="Times New Roman" w:cs="Times New Roman"/>
          <w:b/>
          <w:bCs/>
          <w:sz w:val="24"/>
          <w:szCs w:val="24"/>
          <w:u w:val="single"/>
        </w:rPr>
      </w:pPr>
      <w:r w:rsidRPr="005F39E8">
        <w:rPr>
          <w:rFonts w:ascii="Times New Roman" w:eastAsia="Calibri" w:hAnsi="Times New Roman" w:cs="Times New Roman"/>
          <w:sz w:val="24"/>
          <w:szCs w:val="24"/>
        </w:rPr>
        <w:t xml:space="preserve"> </w:t>
      </w:r>
      <w:r w:rsidR="00484378" w:rsidRPr="005F39E8">
        <w:rPr>
          <w:rFonts w:ascii="Times New Roman" w:eastAsia="Calibri" w:hAnsi="Times New Roman" w:cs="Times New Roman"/>
          <w:b/>
          <w:bCs/>
          <w:sz w:val="24"/>
          <w:szCs w:val="24"/>
          <w:u w:val="single"/>
        </w:rPr>
        <w:t xml:space="preserve">Plaintiff’s VCPA Claim is Not Subject to Preemption or Exclusion </w:t>
      </w:r>
    </w:p>
    <w:p w14:paraId="55C5E589" w14:textId="77777777" w:rsidR="005F39E8" w:rsidRDefault="005E5062" w:rsidP="005F39E8">
      <w:pPr>
        <w:pStyle w:val="ListParagraph"/>
        <w:widowControl w:val="0"/>
        <w:suppressAutoHyphens/>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Defendants </w:t>
      </w:r>
      <w:r w:rsidR="00484378">
        <w:rPr>
          <w:rFonts w:ascii="Times New Roman" w:eastAsia="Calibri" w:hAnsi="Times New Roman" w:cs="Times New Roman"/>
          <w:sz w:val="24"/>
          <w:szCs w:val="24"/>
        </w:rPr>
        <w:t xml:space="preserve">apparently </w:t>
      </w:r>
      <w:r>
        <w:rPr>
          <w:rFonts w:ascii="Times New Roman" w:eastAsia="Calibri" w:hAnsi="Times New Roman" w:cs="Times New Roman"/>
          <w:sz w:val="24"/>
          <w:szCs w:val="24"/>
        </w:rPr>
        <w:t>rely on Va. Code § 59.1-199, which excludes VCPA claims where the particular aspect of the consumer transaction at issue “is authorized under laws or regulations of this Commonwealth or the United States, or the formal advisory opinions of any regulatory body or official of this Commonwealth or the United States.</w:t>
      </w:r>
      <w:r w:rsidR="007A515F">
        <w:rPr>
          <w:rFonts w:ascii="Times New Roman" w:eastAsia="Calibri" w:hAnsi="Times New Roman" w:cs="Times New Roman"/>
          <w:sz w:val="24"/>
          <w:szCs w:val="24"/>
        </w:rPr>
        <w:t>”</w:t>
      </w:r>
      <w:r>
        <w:rPr>
          <w:rFonts w:ascii="Times New Roman" w:eastAsia="Calibri" w:hAnsi="Times New Roman" w:cs="Times New Roman"/>
          <w:sz w:val="24"/>
          <w:szCs w:val="24"/>
        </w:rPr>
        <w:t xml:space="preserve">  Defendants cite no statut</w:t>
      </w:r>
      <w:r w:rsidR="00484378">
        <w:rPr>
          <w:rFonts w:ascii="Times New Roman" w:eastAsia="Calibri" w:hAnsi="Times New Roman" w:cs="Times New Roman"/>
          <w:sz w:val="24"/>
          <w:szCs w:val="24"/>
        </w:rPr>
        <w:t>e</w:t>
      </w:r>
      <w:r>
        <w:rPr>
          <w:rFonts w:ascii="Times New Roman" w:eastAsia="Calibri" w:hAnsi="Times New Roman" w:cs="Times New Roman"/>
          <w:sz w:val="24"/>
          <w:szCs w:val="24"/>
        </w:rPr>
        <w:t xml:space="preserve"> or regulation authorizing the misrepresentations of this case.</w:t>
      </w:r>
      <w:r w:rsidRPr="005E5062">
        <w:rPr>
          <w:rStyle w:val="FootnoteReference"/>
          <w:rFonts w:eastAsia="Calibri" w:cs="Times New Roman"/>
          <w:szCs w:val="24"/>
          <w:vertAlign w:val="superscript"/>
        </w:rPr>
        <w:footnoteReference w:id="6"/>
      </w:r>
      <w:r w:rsidRPr="005E5062">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xml:space="preserve"> </w:t>
      </w:r>
      <w:r w:rsidR="005F39E8">
        <w:rPr>
          <w:rFonts w:ascii="Times New Roman" w:eastAsia="Calibri" w:hAnsi="Times New Roman" w:cs="Times New Roman"/>
          <w:sz w:val="24"/>
          <w:szCs w:val="24"/>
        </w:rPr>
        <w:t xml:space="preserve">Moreover, while Defendants appear to </w:t>
      </w:r>
      <w:r w:rsidR="006929F1">
        <w:rPr>
          <w:rFonts w:ascii="Times New Roman" w:eastAsia="Calibri" w:hAnsi="Times New Roman" w:cs="Times New Roman"/>
          <w:sz w:val="24"/>
          <w:szCs w:val="24"/>
        </w:rPr>
        <w:t xml:space="preserve"> </w:t>
      </w:r>
      <w:r w:rsidR="006929F1" w:rsidRPr="00C069DA">
        <w:rPr>
          <w:rFonts w:ascii="Times New Roman" w:eastAsia="Calibri" w:hAnsi="Times New Roman" w:cs="Times New Roman"/>
          <w:sz w:val="24"/>
          <w:szCs w:val="24"/>
        </w:rPr>
        <w:t xml:space="preserve">argue that all medical malpractice </w:t>
      </w:r>
      <w:r w:rsidR="00ED6362">
        <w:rPr>
          <w:rFonts w:ascii="Times New Roman" w:eastAsia="Calibri" w:hAnsi="Times New Roman" w:cs="Times New Roman"/>
          <w:sz w:val="24"/>
          <w:szCs w:val="24"/>
        </w:rPr>
        <w:t xml:space="preserve">claims are </w:t>
      </w:r>
      <w:r w:rsidR="006929F1" w:rsidRPr="00C069DA">
        <w:rPr>
          <w:rFonts w:ascii="Times New Roman" w:eastAsia="Calibri" w:hAnsi="Times New Roman" w:cs="Times New Roman"/>
          <w:sz w:val="24"/>
          <w:szCs w:val="24"/>
        </w:rPr>
        <w:t xml:space="preserve">preempted by the Virginia Medical Malpractice Act, </w:t>
      </w:r>
      <w:r w:rsidR="006929F1">
        <w:rPr>
          <w:rFonts w:ascii="Times New Roman" w:eastAsia="Calibri" w:hAnsi="Times New Roman" w:cs="Times New Roman"/>
          <w:sz w:val="24"/>
          <w:szCs w:val="24"/>
        </w:rPr>
        <w:t xml:space="preserve">they </w:t>
      </w:r>
      <w:r w:rsidR="006929F1" w:rsidRPr="00C069DA">
        <w:rPr>
          <w:rFonts w:ascii="Times New Roman" w:eastAsia="Calibri" w:hAnsi="Times New Roman" w:cs="Times New Roman"/>
          <w:sz w:val="24"/>
          <w:szCs w:val="24"/>
        </w:rPr>
        <w:t xml:space="preserve">conveniently ignore </w:t>
      </w:r>
      <w:r w:rsidR="006929F1" w:rsidRPr="00C069DA">
        <w:rPr>
          <w:rFonts w:ascii="Times New Roman" w:eastAsia="Calibri" w:hAnsi="Times New Roman" w:cs="Times New Roman"/>
          <w:i/>
          <w:sz w:val="24"/>
          <w:szCs w:val="24"/>
        </w:rPr>
        <w:t>Alcoy v. Valley Nursing Home</w:t>
      </w:r>
      <w:r w:rsidR="006929F1" w:rsidRPr="00C069DA">
        <w:rPr>
          <w:rFonts w:ascii="Times New Roman" w:eastAsia="Calibri" w:hAnsi="Times New Roman" w:cs="Times New Roman"/>
          <w:sz w:val="24"/>
          <w:szCs w:val="24"/>
        </w:rPr>
        <w:t>, Inc. 272 Va. 37, 43, 630 S.E.2d 301, 304(2006)</w:t>
      </w:r>
      <w:r w:rsidR="005F39E8">
        <w:rPr>
          <w:rFonts w:ascii="Times New Roman" w:eastAsia="Calibri" w:hAnsi="Times New Roman" w:cs="Times New Roman"/>
          <w:sz w:val="24"/>
          <w:szCs w:val="24"/>
        </w:rPr>
        <w:t>, which found that a</w:t>
      </w:r>
      <w:r w:rsidR="006929F1" w:rsidRPr="00C069DA">
        <w:rPr>
          <w:rFonts w:ascii="Times New Roman" w:eastAsia="Calibri" w:hAnsi="Times New Roman" w:cs="Times New Roman"/>
          <w:sz w:val="24"/>
          <w:szCs w:val="24"/>
        </w:rPr>
        <w:t xml:space="preserve"> facility’s administrative, personnel, security and staffing decisions are not “health care” for purposes of Virginia’s medical malpractice act.</w:t>
      </w:r>
      <w:r w:rsidR="005F39E8">
        <w:rPr>
          <w:rStyle w:val="FootnoteReference"/>
          <w:rFonts w:eastAsia="Calibri" w:cs="Times New Roman"/>
          <w:szCs w:val="24"/>
        </w:rPr>
        <w:footnoteReference w:id="7"/>
      </w:r>
      <w:r w:rsidR="006929F1" w:rsidRPr="00C069DA">
        <w:rPr>
          <w:rFonts w:ascii="Times New Roman" w:eastAsia="Calibri" w:hAnsi="Times New Roman" w:cs="Times New Roman"/>
          <w:sz w:val="24"/>
          <w:szCs w:val="24"/>
        </w:rPr>
        <w:t xml:space="preserve"> </w:t>
      </w:r>
      <w:r w:rsidR="00ED6362">
        <w:rPr>
          <w:rFonts w:ascii="Times New Roman" w:eastAsia="Calibri" w:hAnsi="Times New Roman" w:cs="Times New Roman"/>
          <w:sz w:val="24"/>
          <w:szCs w:val="24"/>
        </w:rPr>
        <w:t xml:space="preserve"> </w:t>
      </w:r>
    </w:p>
    <w:p w14:paraId="495591A7" w14:textId="6E730422" w:rsidR="006929F1" w:rsidRDefault="00BE4BB0" w:rsidP="004D6A2B">
      <w:pPr>
        <w:pStyle w:val="ListParagraph"/>
        <w:widowControl w:val="0"/>
        <w:numPr>
          <w:ilvl w:val="0"/>
          <w:numId w:val="29"/>
        </w:numPr>
        <w:suppressAutoHyphens/>
        <w:spacing w:after="0" w:line="480" w:lineRule="auto"/>
        <w:jc w:val="both"/>
        <w:rPr>
          <w:rFonts w:ascii="Times New Roman" w:eastAsia="Times New Roman" w:hAnsi="Times New Roman" w:cs="Times New Roman"/>
          <w:b/>
          <w:bCs/>
          <w:sz w:val="24"/>
          <w:szCs w:val="24"/>
          <w:u w:val="single"/>
        </w:rPr>
      </w:pPr>
      <w:r w:rsidRPr="00AC4FEB">
        <w:rPr>
          <w:rFonts w:ascii="Times New Roman" w:eastAsia="Times New Roman" w:hAnsi="Times New Roman" w:cs="Times New Roman"/>
          <w:b/>
          <w:bCs/>
          <w:sz w:val="24"/>
          <w:szCs w:val="24"/>
          <w:u w:val="single"/>
        </w:rPr>
        <w:t>Plaintiff Has Alleged Sufficient Facts to Support a Punitive Damage Claim</w:t>
      </w:r>
    </w:p>
    <w:p w14:paraId="0292B405" w14:textId="1A09B1F9" w:rsidR="00DA7D5B" w:rsidRDefault="00DA7D5B" w:rsidP="00DA7D5B">
      <w:pPr>
        <w:widowControl w:val="0"/>
        <w:suppressAutoHyphens/>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Likely realizing the futility of challenging Plaintiff’s claim for punitive damages, Defendants did not demure to this claim </w:t>
      </w:r>
      <w:r w:rsidR="001E23D1">
        <w:rPr>
          <w:rFonts w:ascii="Times New Roman" w:eastAsia="Times New Roman" w:hAnsi="Times New Roman" w:cs="Times New Roman"/>
          <w:sz w:val="24"/>
          <w:szCs w:val="24"/>
        </w:rPr>
        <w:t>when responding to</w:t>
      </w:r>
      <w:r>
        <w:rPr>
          <w:rFonts w:ascii="Times New Roman" w:eastAsia="Times New Roman" w:hAnsi="Times New Roman" w:cs="Times New Roman"/>
          <w:sz w:val="24"/>
          <w:szCs w:val="24"/>
        </w:rPr>
        <w:t xml:space="preserve"> </w:t>
      </w:r>
      <w:r w:rsidR="002A32EF">
        <w:rPr>
          <w:rFonts w:ascii="Times New Roman" w:eastAsia="Times New Roman" w:hAnsi="Times New Roman" w:cs="Times New Roman"/>
          <w:sz w:val="24"/>
          <w:szCs w:val="24"/>
        </w:rPr>
        <w:t xml:space="preserve">Plaintiff’s </w:t>
      </w:r>
      <w:r>
        <w:rPr>
          <w:rFonts w:ascii="Times New Roman" w:eastAsia="Times New Roman" w:hAnsi="Times New Roman" w:cs="Times New Roman"/>
          <w:sz w:val="24"/>
          <w:szCs w:val="24"/>
        </w:rPr>
        <w:t xml:space="preserve">first complaint.  Plaintiff’s </w:t>
      </w:r>
      <w:r w:rsidR="002A32EF">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 xml:space="preserve">mended </w:t>
      </w:r>
      <w:r w:rsidR="002A32E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omplaint has even more supporting allegations that have been revealed in discovery, further bolstering </w:t>
      </w:r>
      <w:r w:rsidR="002A32EF">
        <w:rPr>
          <w:rFonts w:ascii="Times New Roman" w:eastAsia="Times New Roman" w:hAnsi="Times New Roman" w:cs="Times New Roman"/>
          <w:sz w:val="24"/>
          <w:szCs w:val="24"/>
        </w:rPr>
        <w:t>her punitive claim.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FD7EBBC" w14:textId="100811AB" w:rsidR="00B16B56" w:rsidRDefault="00B16B56" w:rsidP="004D6A2B">
      <w:pPr>
        <w:widowControl w:val="0"/>
        <w:suppressAutoHyphens/>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Plaintiff alleges both intentional and reckless conduct that this Court must assume is true for purposes of this Motion.  </w:t>
      </w:r>
      <w:r w:rsidR="001E23D1">
        <w:rPr>
          <w:rFonts w:ascii="Times New Roman" w:eastAsia="Times New Roman" w:hAnsi="Times New Roman" w:cs="Times New Roman"/>
          <w:sz w:val="24"/>
          <w:szCs w:val="24"/>
        </w:rPr>
        <w:t>Defendants</w:t>
      </w:r>
      <w:r>
        <w:rPr>
          <w:rFonts w:ascii="Times New Roman" w:eastAsia="Times New Roman" w:hAnsi="Times New Roman" w:cs="Times New Roman"/>
          <w:sz w:val="24"/>
          <w:szCs w:val="24"/>
        </w:rPr>
        <w:t xml:space="preserve"> “intentionally misrepresented” the nature of available services and misinformed the family that there was sufficient staffing to meet Sara’s needs. (Amended Complaint, ¶¶ 49, 50).  </w:t>
      </w:r>
      <w:r w:rsidR="00923DC8">
        <w:rPr>
          <w:rFonts w:ascii="Times New Roman" w:eastAsia="Times New Roman" w:hAnsi="Times New Roman" w:cs="Times New Roman"/>
          <w:sz w:val="24"/>
          <w:szCs w:val="24"/>
        </w:rPr>
        <w:t>They “recklessly placed her in a unit that did not have a working call bell system.</w:t>
      </w:r>
      <w:r w:rsidR="001E23D1">
        <w:rPr>
          <w:rFonts w:ascii="Times New Roman" w:eastAsia="Times New Roman" w:hAnsi="Times New Roman" w:cs="Times New Roman"/>
          <w:sz w:val="24"/>
          <w:szCs w:val="24"/>
        </w:rPr>
        <w:t>”</w:t>
      </w:r>
      <w:r w:rsidR="00923DC8">
        <w:rPr>
          <w:rFonts w:ascii="Times New Roman" w:eastAsia="Times New Roman" w:hAnsi="Times New Roman" w:cs="Times New Roman"/>
          <w:sz w:val="24"/>
          <w:szCs w:val="24"/>
        </w:rPr>
        <w:t xml:space="preserve"> </w:t>
      </w:r>
      <w:r w:rsidR="00923DC8" w:rsidRPr="001E23D1">
        <w:rPr>
          <w:rFonts w:ascii="Times New Roman" w:eastAsia="Times New Roman" w:hAnsi="Times New Roman" w:cs="Times New Roman"/>
          <w:i/>
          <w:iCs/>
          <w:sz w:val="24"/>
          <w:szCs w:val="24"/>
        </w:rPr>
        <w:t>Id</w:t>
      </w:r>
      <w:r w:rsidR="00923DC8">
        <w:rPr>
          <w:rFonts w:ascii="Times New Roman" w:eastAsia="Times New Roman" w:hAnsi="Times New Roman" w:cs="Times New Roman"/>
          <w:sz w:val="24"/>
          <w:szCs w:val="24"/>
        </w:rPr>
        <w:t xml:space="preserve">., 50. </w:t>
      </w:r>
      <w:r w:rsidR="001A59FA">
        <w:rPr>
          <w:rFonts w:ascii="Times New Roman" w:eastAsia="Times New Roman" w:hAnsi="Times New Roman" w:cs="Times New Roman"/>
          <w:sz w:val="24"/>
          <w:szCs w:val="24"/>
        </w:rPr>
        <w:t>The demented Ms. McCorkle liked to take hot showers, but could not get water in her ear because of a missing ear drum.</w:t>
      </w:r>
      <w:r w:rsidR="001A59FA" w:rsidRPr="001E23D1">
        <w:rPr>
          <w:rFonts w:ascii="Times New Roman" w:eastAsia="Times New Roman" w:hAnsi="Times New Roman" w:cs="Times New Roman"/>
          <w:i/>
          <w:iCs/>
          <w:sz w:val="24"/>
          <w:szCs w:val="24"/>
        </w:rPr>
        <w:t xml:space="preserve"> Id</w:t>
      </w:r>
      <w:r w:rsidR="001A59FA">
        <w:rPr>
          <w:rFonts w:ascii="Times New Roman" w:eastAsia="Times New Roman" w:hAnsi="Times New Roman" w:cs="Times New Roman"/>
          <w:sz w:val="24"/>
          <w:szCs w:val="24"/>
        </w:rPr>
        <w:t xml:space="preserve">., ¶ 13. Although Defendant’s own care plan required hands-on assistance with toileting and bathing, and they were repeatedly warned that she was getting up in the early morning to self-bathe and toilet, Defendants “recklessly ignored this risk as well as the family’s complaints of neglect. . .” </w:t>
      </w:r>
      <w:r w:rsidR="001A59FA" w:rsidRPr="001E23D1">
        <w:rPr>
          <w:rFonts w:ascii="Times New Roman" w:eastAsia="Times New Roman" w:hAnsi="Times New Roman" w:cs="Times New Roman"/>
          <w:i/>
          <w:iCs/>
          <w:sz w:val="24"/>
          <w:szCs w:val="24"/>
        </w:rPr>
        <w:t>Id</w:t>
      </w:r>
      <w:r w:rsidR="001A59FA">
        <w:rPr>
          <w:rFonts w:ascii="Times New Roman" w:eastAsia="Times New Roman" w:hAnsi="Times New Roman" w:cs="Times New Roman"/>
          <w:sz w:val="24"/>
          <w:szCs w:val="24"/>
        </w:rPr>
        <w:t xml:space="preserve">., ¶¶ </w:t>
      </w:r>
      <w:r w:rsidR="00923DC8">
        <w:rPr>
          <w:rFonts w:ascii="Times New Roman" w:eastAsia="Times New Roman" w:hAnsi="Times New Roman" w:cs="Times New Roman"/>
          <w:sz w:val="24"/>
          <w:szCs w:val="24"/>
        </w:rPr>
        <w:t>51, 52</w:t>
      </w:r>
      <w:r w:rsidR="000100CE">
        <w:rPr>
          <w:rFonts w:ascii="Times New Roman" w:eastAsia="Times New Roman" w:hAnsi="Times New Roman" w:cs="Times New Roman"/>
          <w:sz w:val="24"/>
          <w:szCs w:val="24"/>
        </w:rPr>
        <w:t>.</w:t>
      </w:r>
      <w:r w:rsidR="00923DC8">
        <w:rPr>
          <w:rFonts w:ascii="Times New Roman" w:eastAsia="Times New Roman" w:hAnsi="Times New Roman" w:cs="Times New Roman"/>
          <w:sz w:val="24"/>
          <w:szCs w:val="24"/>
        </w:rPr>
        <w:t xml:space="preserve"> </w:t>
      </w:r>
    </w:p>
    <w:p w14:paraId="209A9594" w14:textId="2344B0D1" w:rsidR="00F04DF4" w:rsidRPr="00F04DF4" w:rsidRDefault="00F04DF4" w:rsidP="00F04DF4">
      <w:pPr>
        <w:widowControl w:val="0"/>
        <w:suppressAutoHyphens/>
        <w:autoSpaceDE w:val="0"/>
        <w:autoSpaceDN w:val="0"/>
        <w:adjustRightInd w:val="0"/>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25070AB" w14:textId="09CF527A" w:rsidR="00B16B56" w:rsidRDefault="00DA7D5B" w:rsidP="00DA7D5B">
      <w:pPr>
        <w:widowControl w:val="0"/>
        <w:suppressAutoHyphens/>
        <w:autoSpaceDE w:val="0"/>
        <w:autoSpaceDN w:val="0"/>
        <w:adjustRightInd w:val="0"/>
        <w:spacing w:after="0" w:line="480" w:lineRule="auto"/>
        <w:ind w:firstLine="720"/>
        <w:jc w:val="both"/>
        <w:rPr>
          <w:rFonts w:ascii="Times New Roman" w:hAnsi="Times New Roman"/>
          <w:sz w:val="24"/>
          <w:szCs w:val="24"/>
        </w:rPr>
      </w:pPr>
      <w:r w:rsidRPr="00881419">
        <w:rPr>
          <w:rFonts w:ascii="Times New Roman" w:hAnsi="Times New Roman"/>
          <w:sz w:val="24"/>
          <w:szCs w:val="24"/>
        </w:rPr>
        <w:t xml:space="preserve">Virginia </w:t>
      </w:r>
      <w:r>
        <w:rPr>
          <w:rFonts w:ascii="Times New Roman" w:hAnsi="Times New Roman"/>
          <w:sz w:val="24"/>
          <w:szCs w:val="24"/>
        </w:rPr>
        <w:t>c</w:t>
      </w:r>
      <w:r w:rsidRPr="00881419">
        <w:rPr>
          <w:rFonts w:ascii="Times New Roman" w:hAnsi="Times New Roman"/>
          <w:sz w:val="24"/>
          <w:szCs w:val="24"/>
        </w:rPr>
        <w:t xml:space="preserve">ourts have allowed punitive damage claims to go forward on far less egregious factual allegations than those presented here.  </w:t>
      </w:r>
      <w:r w:rsidRPr="00881419">
        <w:rPr>
          <w:rFonts w:ascii="Times New Roman" w:hAnsi="Times New Roman"/>
          <w:i/>
          <w:sz w:val="24"/>
          <w:szCs w:val="24"/>
        </w:rPr>
        <w:t xml:space="preserve">See </w:t>
      </w:r>
      <w:smartTag w:uri="schemas-lexis-nexis-com/casename" w:element="casename">
        <w:smartTagPr>
          <w:attr w:name="LexisNexisProductID" w:val="Alfonso v. Robinson"/>
        </w:smartTagPr>
        <w:r w:rsidRPr="00881419">
          <w:rPr>
            <w:rFonts w:ascii="Times New Roman" w:hAnsi="Times New Roman"/>
            <w:i/>
            <w:sz w:val="24"/>
            <w:szCs w:val="24"/>
          </w:rPr>
          <w:t>Alfonso v. Robinson</w:t>
        </w:r>
      </w:smartTag>
      <w:r w:rsidRPr="00881419">
        <w:rPr>
          <w:rFonts w:ascii="Times New Roman" w:hAnsi="Times New Roman"/>
          <w:sz w:val="24"/>
          <w:szCs w:val="24"/>
        </w:rPr>
        <w:t>, 257 Va. 540</w:t>
      </w:r>
      <w:r>
        <w:rPr>
          <w:rFonts w:ascii="Times New Roman" w:hAnsi="Times New Roman"/>
          <w:sz w:val="24"/>
          <w:szCs w:val="24"/>
        </w:rPr>
        <w:t xml:space="preserve"> </w:t>
      </w:r>
      <w:r w:rsidRPr="00881419">
        <w:rPr>
          <w:rFonts w:ascii="Times New Roman" w:hAnsi="Times New Roman"/>
          <w:sz w:val="24"/>
          <w:szCs w:val="24"/>
        </w:rPr>
        <w:t xml:space="preserve">(1999) (punitive damages allowed where defendant failed to place safety flares behind his disabled truck); </w:t>
      </w:r>
      <w:smartTag w:uri="schemas-lexis-nexis-com/casename" w:element="casename">
        <w:smartTagPr>
          <w:attr w:name="LexisNexisProductID" w:val="Smith v. Litten"/>
        </w:smartTagPr>
        <w:r w:rsidRPr="00881419">
          <w:rPr>
            <w:rFonts w:ascii="Times New Roman" w:hAnsi="Times New Roman"/>
            <w:i/>
            <w:sz w:val="24"/>
            <w:szCs w:val="24"/>
          </w:rPr>
          <w:t xml:space="preserve">Smith v. </w:t>
        </w:r>
        <w:proofErr w:type="spellStart"/>
        <w:r w:rsidRPr="00881419">
          <w:rPr>
            <w:rFonts w:ascii="Times New Roman" w:hAnsi="Times New Roman"/>
            <w:i/>
            <w:sz w:val="24"/>
            <w:szCs w:val="24"/>
          </w:rPr>
          <w:t>Litten</w:t>
        </w:r>
      </w:smartTag>
      <w:proofErr w:type="spellEnd"/>
      <w:r w:rsidRPr="00881419">
        <w:rPr>
          <w:rFonts w:ascii="Times New Roman" w:hAnsi="Times New Roman"/>
          <w:sz w:val="24"/>
          <w:szCs w:val="24"/>
        </w:rPr>
        <w:t xml:space="preserve">, 256 Va. 573 (1998) (punitive damages allowed where defendant discriminated against an employee because of his age); </w:t>
      </w:r>
      <w:smartTag w:uri="schemas-lexis-nexis-com/casename" w:element="casename">
        <w:smartTagPr>
          <w:attr w:name="LexisNexisProductID" w:val="Rice v. Safford Dodge Inc."/>
        </w:smartTagPr>
        <w:r w:rsidRPr="00881419">
          <w:rPr>
            <w:rFonts w:ascii="Times New Roman" w:hAnsi="Times New Roman"/>
            <w:i/>
            <w:sz w:val="24"/>
            <w:szCs w:val="24"/>
          </w:rPr>
          <w:t>Rice v. Safford Dodge Inc.</w:t>
        </w:r>
      </w:smartTag>
      <w:r w:rsidRPr="00881419">
        <w:rPr>
          <w:rFonts w:ascii="Times New Roman" w:hAnsi="Times New Roman"/>
          <w:i/>
          <w:sz w:val="24"/>
          <w:szCs w:val="24"/>
        </w:rPr>
        <w:t>,</w:t>
      </w:r>
      <w:r w:rsidRPr="00881419">
        <w:rPr>
          <w:rFonts w:ascii="Times New Roman" w:hAnsi="Times New Roman"/>
          <w:sz w:val="24"/>
          <w:szCs w:val="24"/>
        </w:rPr>
        <w:t xml:space="preserve"> 43 Va. Cir. 578 (1997) (punitive damages allowed where defendant sold a vehicle claiming that the car was a demonstrator </w:t>
      </w:r>
      <w:r w:rsidRPr="00881419">
        <w:rPr>
          <w:rFonts w:ascii="Times New Roman" w:hAnsi="Times New Roman"/>
          <w:sz w:val="24"/>
          <w:szCs w:val="24"/>
        </w:rPr>
        <w:lastRenderedPageBreak/>
        <w:t xml:space="preserve">model when it was actually a damaged car that had been repaired); </w:t>
      </w:r>
      <w:smartTag w:uri="schemas-lexis-nexis-com/casename" w:element="casename">
        <w:smartTagPr>
          <w:attr w:name="LexisNexisProductID" w:val="Kaufmann v. Abramson"/>
        </w:smartTagPr>
        <w:r w:rsidRPr="00881419">
          <w:rPr>
            <w:rFonts w:ascii="Times New Roman" w:hAnsi="Times New Roman"/>
            <w:i/>
            <w:sz w:val="24"/>
            <w:szCs w:val="24"/>
          </w:rPr>
          <w:t>Kaufmann v. Abramson</w:t>
        </w:r>
      </w:smartTag>
      <w:r w:rsidRPr="00881419">
        <w:rPr>
          <w:rFonts w:ascii="Times New Roman" w:hAnsi="Times New Roman"/>
          <w:sz w:val="24"/>
          <w:szCs w:val="24"/>
        </w:rPr>
        <w:t>, 363 F.2d 865 (4th Cir. 1966) (punitive damages</w:t>
      </w:r>
      <w:r>
        <w:rPr>
          <w:rFonts w:ascii="Times New Roman" w:hAnsi="Times New Roman"/>
          <w:sz w:val="24"/>
          <w:szCs w:val="24"/>
        </w:rPr>
        <w:t xml:space="preserve"> award sustained</w:t>
      </w:r>
      <w:r w:rsidRPr="00881419">
        <w:rPr>
          <w:rFonts w:ascii="Times New Roman" w:hAnsi="Times New Roman"/>
          <w:sz w:val="24"/>
          <w:szCs w:val="24"/>
        </w:rPr>
        <w:t xml:space="preserve"> for a landlord</w:t>
      </w:r>
      <w:r>
        <w:rPr>
          <w:rFonts w:ascii="Times New Roman" w:hAnsi="Times New Roman"/>
          <w:sz w:val="24"/>
          <w:szCs w:val="24"/>
        </w:rPr>
        <w:t>’s</w:t>
      </w:r>
      <w:r w:rsidRPr="00881419">
        <w:rPr>
          <w:rFonts w:ascii="Times New Roman" w:hAnsi="Times New Roman"/>
          <w:sz w:val="24"/>
          <w:szCs w:val="24"/>
        </w:rPr>
        <w:t xml:space="preserve"> cutting off a lessee’s electricity despite his awareness of elderly lessee’s frail health</w:t>
      </w:r>
      <w:r w:rsidR="002A32EF">
        <w:rPr>
          <w:rFonts w:ascii="Times New Roman" w:hAnsi="Times New Roman"/>
          <w:sz w:val="24"/>
          <w:szCs w:val="24"/>
        </w:rPr>
        <w:t>)</w:t>
      </w:r>
      <w:r w:rsidR="00B16B56">
        <w:rPr>
          <w:rFonts w:ascii="Times New Roman" w:hAnsi="Times New Roman"/>
          <w:sz w:val="24"/>
          <w:szCs w:val="24"/>
        </w:rPr>
        <w:t>.</w:t>
      </w:r>
    </w:p>
    <w:p w14:paraId="733B08A2" w14:textId="63184944" w:rsidR="00122B49" w:rsidRDefault="009D3229" w:rsidP="000100CE">
      <w:pPr>
        <w:widowControl w:val="0"/>
        <w:suppressAutoHyphen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In </w:t>
      </w:r>
      <w:r w:rsidRPr="009D3229">
        <w:rPr>
          <w:rFonts w:ascii="Times New Roman" w:hAnsi="Times New Roman"/>
          <w:i/>
          <w:iCs/>
          <w:sz w:val="24"/>
          <w:szCs w:val="24"/>
        </w:rPr>
        <w:t>Crouse v. Medical Facilities of America</w:t>
      </w:r>
      <w:r>
        <w:rPr>
          <w:rFonts w:ascii="Times New Roman" w:hAnsi="Times New Roman"/>
          <w:sz w:val="24"/>
          <w:szCs w:val="24"/>
        </w:rPr>
        <w:t>, CL 09002319 (Roanoke 2013)</w:t>
      </w:r>
      <w:r w:rsidR="00472B94">
        <w:rPr>
          <w:rFonts w:ascii="Times New Roman" w:hAnsi="Times New Roman"/>
          <w:sz w:val="24"/>
          <w:szCs w:val="24"/>
        </w:rPr>
        <w:t>(</w:t>
      </w:r>
      <w:proofErr w:type="spellStart"/>
      <w:r w:rsidR="00472B94">
        <w:rPr>
          <w:rFonts w:ascii="Times New Roman" w:hAnsi="Times New Roman"/>
          <w:sz w:val="24"/>
          <w:szCs w:val="24"/>
        </w:rPr>
        <w:t>Exh</w:t>
      </w:r>
      <w:proofErr w:type="spellEnd"/>
      <w:r w:rsidR="00472B94">
        <w:rPr>
          <w:rFonts w:ascii="Times New Roman" w:hAnsi="Times New Roman"/>
          <w:sz w:val="24"/>
          <w:szCs w:val="24"/>
        </w:rPr>
        <w:t xml:space="preserve"> No.  </w:t>
      </w:r>
      <w:r w:rsidR="00F376A1">
        <w:rPr>
          <w:rFonts w:ascii="Times New Roman" w:hAnsi="Times New Roman"/>
          <w:sz w:val="24"/>
          <w:szCs w:val="24"/>
        </w:rPr>
        <w:t>4</w:t>
      </w:r>
      <w:r w:rsidR="00472B94">
        <w:rPr>
          <w:rFonts w:ascii="Times New Roman" w:hAnsi="Times New Roman"/>
          <w:sz w:val="24"/>
          <w:szCs w:val="24"/>
        </w:rPr>
        <w:t>)</w:t>
      </w:r>
      <w:r>
        <w:rPr>
          <w:rFonts w:ascii="Times New Roman" w:hAnsi="Times New Roman"/>
          <w:sz w:val="24"/>
          <w:szCs w:val="24"/>
        </w:rPr>
        <w:t xml:space="preserve">, the Supreme Court found no error in the trial court upholding a punitive damage claim </w:t>
      </w:r>
      <w:r w:rsidR="00472B94">
        <w:rPr>
          <w:rFonts w:ascii="Times New Roman" w:hAnsi="Times New Roman"/>
          <w:sz w:val="24"/>
          <w:szCs w:val="24"/>
        </w:rPr>
        <w:t xml:space="preserve">which was based, in part, upon Defendant’s prior survey record that showed bed alarms were not being properly implemented in other facilities, which put them on notice that such failures could lead to falls by Plaintiff.  </w:t>
      </w:r>
      <w:r w:rsidR="000100CE">
        <w:rPr>
          <w:rFonts w:ascii="Times New Roman" w:hAnsi="Times New Roman"/>
          <w:sz w:val="24"/>
          <w:szCs w:val="24"/>
        </w:rPr>
        <w:t xml:space="preserve">Like </w:t>
      </w:r>
      <w:r w:rsidR="000100CE" w:rsidRPr="00F376A1">
        <w:rPr>
          <w:rFonts w:ascii="Times New Roman" w:hAnsi="Times New Roman"/>
          <w:i/>
          <w:iCs/>
          <w:sz w:val="24"/>
          <w:szCs w:val="24"/>
        </w:rPr>
        <w:t>Crouse</w:t>
      </w:r>
      <w:r w:rsidR="000100CE">
        <w:rPr>
          <w:rFonts w:ascii="Times New Roman" w:hAnsi="Times New Roman"/>
          <w:sz w:val="24"/>
          <w:szCs w:val="24"/>
        </w:rPr>
        <w:t xml:space="preserve">, </w:t>
      </w:r>
      <w:r w:rsidR="00472B94">
        <w:rPr>
          <w:rFonts w:ascii="Times New Roman" w:hAnsi="Times New Roman"/>
          <w:sz w:val="24"/>
          <w:szCs w:val="24"/>
        </w:rPr>
        <w:t xml:space="preserve"> Plaintiff has alleged similar prior deficiencies in </w:t>
      </w:r>
      <w:r w:rsidR="00DA7D5B" w:rsidRPr="00881419">
        <w:rPr>
          <w:rFonts w:ascii="Times New Roman" w:hAnsi="Times New Roman"/>
          <w:sz w:val="24"/>
          <w:szCs w:val="24"/>
        </w:rPr>
        <w:t xml:space="preserve">has </w:t>
      </w:r>
      <w:r w:rsidR="002A32EF">
        <w:rPr>
          <w:rFonts w:ascii="Times New Roman" w:hAnsi="Times New Roman"/>
          <w:sz w:val="24"/>
          <w:szCs w:val="24"/>
        </w:rPr>
        <w:t xml:space="preserve">also </w:t>
      </w:r>
      <w:r w:rsidR="00DA7D5B" w:rsidRPr="00881419">
        <w:rPr>
          <w:rFonts w:ascii="Times New Roman" w:hAnsi="Times New Roman"/>
          <w:sz w:val="24"/>
          <w:szCs w:val="24"/>
        </w:rPr>
        <w:t xml:space="preserve">alleged that </w:t>
      </w:r>
      <w:r w:rsidR="00DA7D5B">
        <w:rPr>
          <w:rFonts w:ascii="Times New Roman" w:hAnsi="Times New Roman"/>
          <w:sz w:val="24"/>
          <w:szCs w:val="24"/>
        </w:rPr>
        <w:t xml:space="preserve">Defendants </w:t>
      </w:r>
      <w:r w:rsidR="00472B94">
        <w:rPr>
          <w:rFonts w:ascii="Times New Roman" w:hAnsi="Times New Roman"/>
          <w:sz w:val="24"/>
          <w:szCs w:val="24"/>
        </w:rPr>
        <w:t xml:space="preserve">were on notice of similar prior deficiencies including failures in service planning, failures </w:t>
      </w:r>
      <w:r w:rsidR="00593268">
        <w:rPr>
          <w:rFonts w:ascii="Times New Roman" w:hAnsi="Times New Roman"/>
          <w:sz w:val="24"/>
          <w:szCs w:val="24"/>
        </w:rPr>
        <w:t>to</w:t>
      </w:r>
      <w:r w:rsidR="00472B94">
        <w:rPr>
          <w:rFonts w:ascii="Times New Roman" w:hAnsi="Times New Roman"/>
          <w:sz w:val="24"/>
          <w:szCs w:val="24"/>
        </w:rPr>
        <w:t xml:space="preserve"> timely toilet a resident who required physical assistance</w:t>
      </w:r>
      <w:r w:rsidR="000100CE">
        <w:rPr>
          <w:rFonts w:ascii="Times New Roman" w:hAnsi="Times New Roman"/>
          <w:sz w:val="24"/>
          <w:szCs w:val="24"/>
        </w:rPr>
        <w:t xml:space="preserve"> and failing to report incidents to their licensing authority that negatively affected or threatened the life, health or safety of their residents. (Amended Complaint, </w:t>
      </w:r>
      <w:r w:rsidR="000100CE">
        <w:rPr>
          <w:rFonts w:ascii="Times New Roman" w:hAnsi="Times New Roman" w:cs="Times New Roman"/>
          <w:sz w:val="24"/>
          <w:szCs w:val="24"/>
        </w:rPr>
        <w:t>¶</w:t>
      </w:r>
      <w:proofErr w:type="gramStart"/>
      <w:r w:rsidR="000100CE">
        <w:rPr>
          <w:rFonts w:ascii="Times New Roman" w:hAnsi="Times New Roman" w:cs="Times New Roman"/>
          <w:sz w:val="24"/>
          <w:szCs w:val="24"/>
        </w:rPr>
        <w:t>¶</w:t>
      </w:r>
      <w:r w:rsidR="000100CE">
        <w:rPr>
          <w:rFonts w:ascii="Times New Roman" w:hAnsi="Times New Roman"/>
          <w:sz w:val="24"/>
          <w:szCs w:val="24"/>
        </w:rPr>
        <w:t xml:space="preserve">  59</w:t>
      </w:r>
      <w:proofErr w:type="gramEnd"/>
      <w:r w:rsidR="000100CE">
        <w:rPr>
          <w:rFonts w:ascii="Times New Roman" w:hAnsi="Times New Roman"/>
          <w:sz w:val="24"/>
          <w:szCs w:val="24"/>
        </w:rPr>
        <w:t>-62)</w:t>
      </w:r>
      <w:r w:rsidR="004D6A2B">
        <w:rPr>
          <w:rFonts w:ascii="Times New Roman" w:hAnsi="Times New Roman"/>
          <w:sz w:val="24"/>
          <w:szCs w:val="24"/>
        </w:rPr>
        <w:t>.</w:t>
      </w:r>
      <w:r w:rsidR="000100CE" w:rsidRPr="00426BF9">
        <w:rPr>
          <w:rStyle w:val="FootnoteReference"/>
          <w:szCs w:val="24"/>
          <w:vertAlign w:val="superscript"/>
        </w:rPr>
        <w:footnoteReference w:id="8"/>
      </w:r>
      <w:r w:rsidR="000100CE">
        <w:rPr>
          <w:rFonts w:ascii="Times New Roman" w:hAnsi="Times New Roman"/>
          <w:sz w:val="24"/>
          <w:szCs w:val="24"/>
        </w:rPr>
        <w:t xml:space="preserve"> </w:t>
      </w:r>
    </w:p>
    <w:p w14:paraId="754EBE0E" w14:textId="77777777" w:rsidR="00EA4200" w:rsidRDefault="00AC7A30" w:rsidP="00AC7A30">
      <w:pPr>
        <w:widowControl w:val="0"/>
        <w:suppressAutoHyphens/>
        <w:autoSpaceDE w:val="0"/>
        <w:autoSpaceDN w:val="0"/>
        <w:adjustRightInd w:val="0"/>
        <w:spacing w:after="0" w:line="360" w:lineRule="auto"/>
        <w:jc w:val="both"/>
        <w:rPr>
          <w:rFonts w:ascii="Times New Roman" w:hAnsi="Times New Roman"/>
          <w:sz w:val="24"/>
          <w:szCs w:val="24"/>
          <w:u w:val="single"/>
        </w:rPr>
      </w:pPr>
      <w:r>
        <w:rPr>
          <w:rFonts w:ascii="Times New Roman" w:hAnsi="Times New Roman"/>
          <w:sz w:val="24"/>
          <w:szCs w:val="24"/>
          <w:u w:val="single"/>
        </w:rPr>
        <w:tab/>
        <w:t xml:space="preserve">Here, </w:t>
      </w:r>
      <w:r w:rsidR="00EA4200">
        <w:rPr>
          <w:rFonts w:ascii="Times New Roman" w:hAnsi="Times New Roman"/>
          <w:sz w:val="24"/>
          <w:szCs w:val="24"/>
          <w:u w:val="single"/>
        </w:rPr>
        <w:t xml:space="preserve">Plaintiff alleges that Defendants knew they did not have adequate </w:t>
      </w:r>
      <w:proofErr w:type="gramStart"/>
      <w:r w:rsidR="00EA4200">
        <w:rPr>
          <w:rFonts w:ascii="Times New Roman" w:hAnsi="Times New Roman"/>
          <w:sz w:val="24"/>
          <w:szCs w:val="24"/>
          <w:u w:val="single"/>
        </w:rPr>
        <w:t>staffing</w:t>
      </w:r>
      <w:proofErr w:type="gramEnd"/>
    </w:p>
    <w:p w14:paraId="35BF96BC" w14:textId="68DE06C9" w:rsidR="00AC7A30" w:rsidRPr="00AC7A30" w:rsidRDefault="00EA4200" w:rsidP="00AC7A30">
      <w:pPr>
        <w:widowControl w:val="0"/>
        <w:suppressAutoHyphens/>
        <w:autoSpaceDE w:val="0"/>
        <w:autoSpaceDN w:val="0"/>
        <w:adjustRightInd w:val="0"/>
        <w:spacing w:after="0" w:line="360" w:lineRule="auto"/>
        <w:jc w:val="both"/>
        <w:rPr>
          <w:rFonts w:ascii="Times New Roman" w:hAnsi="Times New Roman"/>
          <w:sz w:val="24"/>
          <w:szCs w:val="24"/>
          <w:u w:val="single"/>
        </w:rPr>
      </w:pPr>
      <w:r>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r w:rsidR="00AC7A30">
        <w:rPr>
          <w:rFonts w:ascii="Times New Roman" w:hAnsi="Times New Roman"/>
          <w:sz w:val="24"/>
          <w:szCs w:val="24"/>
          <w:u w:val="single"/>
        </w:rPr>
        <w:tab/>
      </w:r>
    </w:p>
    <w:p w14:paraId="6655ADFF" w14:textId="01478959" w:rsidR="00C521C3" w:rsidRDefault="00C521C3" w:rsidP="00DA7D5B">
      <w:pPr>
        <w:spacing w:after="0" w:line="480" w:lineRule="auto"/>
        <w:ind w:firstLine="720"/>
        <w:jc w:val="both"/>
        <w:rPr>
          <w:rFonts w:ascii="Times New Roman" w:hAnsi="Times New Roman"/>
          <w:sz w:val="24"/>
          <w:szCs w:val="24"/>
        </w:rPr>
      </w:pPr>
      <w:r>
        <w:rPr>
          <w:rFonts w:ascii="Times New Roman" w:hAnsi="Times New Roman"/>
          <w:sz w:val="24"/>
          <w:szCs w:val="24"/>
        </w:rPr>
        <w:t xml:space="preserve">Finally, Defendants’ conduct in attempting to cover-up their neglect provides additional support for punitive damages.  </w:t>
      </w:r>
      <w:r w:rsidRPr="00C521C3">
        <w:rPr>
          <w:rFonts w:ascii="Times New Roman" w:eastAsia="Times New Roman" w:hAnsi="Times New Roman" w:cs="Times New Roman"/>
          <w:sz w:val="28"/>
          <w:szCs w:val="28"/>
        </w:rPr>
        <w:t>A</w:t>
      </w:r>
      <w:r>
        <w:rPr>
          <w:rFonts w:ascii="Times New Roman" w:eastAsia="Times New Roman" w:hAnsi="Times New Roman" w:cs="Times New Roman"/>
          <w:sz w:val="24"/>
          <w:szCs w:val="24"/>
        </w:rPr>
        <w:t>fter she was burned in the shower while bathing alone, Defendants engaged in a cover-up where they sought to document incriminating information in an incident report</w:t>
      </w:r>
      <w:r w:rsidRPr="002A32EF">
        <w:rPr>
          <w:rStyle w:val="FootnoteReference"/>
          <w:rFonts w:eastAsia="Times New Roman" w:cs="Times New Roman"/>
          <w:szCs w:val="24"/>
          <w:vertAlign w:val="superscript"/>
        </w:rPr>
        <w:footnoteReference w:id="9"/>
      </w:r>
      <w:r w:rsidRPr="002A32EF">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and purposely failed to pass on critical information to Fairfax Hospital about how her burn </w:t>
      </w:r>
      <w:r>
        <w:rPr>
          <w:rFonts w:ascii="Times New Roman" w:eastAsia="Times New Roman" w:hAnsi="Times New Roman" w:cs="Times New Roman"/>
          <w:sz w:val="24"/>
          <w:szCs w:val="24"/>
        </w:rPr>
        <w:lastRenderedPageBreak/>
        <w:t xml:space="preserve">blisters </w:t>
      </w:r>
      <w:proofErr w:type="gramStart"/>
      <w:r>
        <w:rPr>
          <w:rFonts w:ascii="Times New Roman" w:eastAsia="Times New Roman" w:hAnsi="Times New Roman" w:cs="Times New Roman"/>
          <w:sz w:val="24"/>
          <w:szCs w:val="24"/>
        </w:rPr>
        <w:t>actually developed</w:t>
      </w:r>
      <w:proofErr w:type="gramEnd"/>
      <w:r>
        <w:rPr>
          <w:rFonts w:ascii="Times New Roman" w:eastAsia="Times New Roman" w:hAnsi="Times New Roman" w:cs="Times New Roman"/>
          <w:sz w:val="24"/>
          <w:szCs w:val="24"/>
        </w:rPr>
        <w:t>. ¶ 54.  In a further effort to cover up the truth, Defendants failed to report this incident to their licensing authority.</w:t>
      </w:r>
      <w:r w:rsidRPr="001E23D1">
        <w:rPr>
          <w:rStyle w:val="FootnoteReference"/>
          <w:rFonts w:eastAsia="Times New Roman" w:cs="Times New Roman"/>
          <w:szCs w:val="24"/>
          <w:vertAlign w:val="superscript"/>
        </w:rPr>
        <w:footnoteReference w:id="10"/>
      </w:r>
      <w:r w:rsidRPr="001E23D1">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Cases from various jurisdictions have upheld punitive damages against healthcare providers or other professionals when they have improperly attempted to conceal their conduct. </w:t>
      </w:r>
    </w:p>
    <w:p w14:paraId="7DDBE1ED" w14:textId="4E086EBB" w:rsidR="00DA7D5B" w:rsidRDefault="00DA7D5B" w:rsidP="00DA7D5B">
      <w:pPr>
        <w:spacing w:after="0" w:line="480" w:lineRule="auto"/>
        <w:ind w:firstLine="720"/>
        <w:jc w:val="both"/>
        <w:rPr>
          <w:rFonts w:ascii="Times New Roman" w:hAnsi="Times New Roman"/>
          <w:iCs/>
          <w:sz w:val="24"/>
          <w:szCs w:val="24"/>
        </w:rPr>
      </w:pPr>
      <w:r w:rsidRPr="00495B3C">
        <w:rPr>
          <w:rFonts w:ascii="Times New Roman" w:hAnsi="Times New Roman"/>
          <w:sz w:val="24"/>
          <w:szCs w:val="24"/>
        </w:rPr>
        <w:t xml:space="preserve">Cases from various jurisdictions have upheld awards of punitive damages </w:t>
      </w:r>
      <w:r>
        <w:rPr>
          <w:rFonts w:ascii="Times New Roman" w:hAnsi="Times New Roman"/>
          <w:sz w:val="24"/>
          <w:szCs w:val="24"/>
        </w:rPr>
        <w:t>when healthcare providers have</w:t>
      </w:r>
      <w:r w:rsidRPr="00495B3C">
        <w:rPr>
          <w:rFonts w:ascii="Times New Roman" w:hAnsi="Times New Roman"/>
          <w:sz w:val="24"/>
          <w:szCs w:val="24"/>
        </w:rPr>
        <w:t xml:space="preserve"> attempted to cover up their negligent conduct.</w:t>
      </w:r>
      <w:r w:rsidR="00C521C3" w:rsidRPr="00C521C3">
        <w:rPr>
          <w:rStyle w:val="FootnoteReference"/>
          <w:szCs w:val="24"/>
          <w:vertAlign w:val="superscript"/>
        </w:rPr>
        <w:footnoteReference w:id="11"/>
      </w:r>
      <w:r w:rsidRPr="00C521C3">
        <w:rPr>
          <w:rFonts w:ascii="Times New Roman" w:hAnsi="Times New Roman"/>
          <w:sz w:val="24"/>
          <w:szCs w:val="24"/>
          <w:vertAlign w:val="superscript"/>
        </w:rPr>
        <w:t xml:space="preserve"> </w:t>
      </w:r>
      <w:r w:rsidRPr="00495B3C">
        <w:rPr>
          <w:rFonts w:ascii="Times New Roman" w:hAnsi="Times New Roman"/>
          <w:i/>
          <w:sz w:val="24"/>
          <w:szCs w:val="24"/>
        </w:rPr>
        <w:t xml:space="preserve"> </w:t>
      </w:r>
      <w:r w:rsidR="00C521C3">
        <w:rPr>
          <w:rFonts w:ascii="Times New Roman" w:hAnsi="Times New Roman"/>
          <w:iCs/>
          <w:sz w:val="24"/>
          <w:szCs w:val="24"/>
        </w:rPr>
        <w:t xml:space="preserve">Such conduct is also relevant to ratification and establishing direct action by the corporate entity. </w:t>
      </w:r>
    </w:p>
    <w:p w14:paraId="69B32766" w14:textId="2ECE4D92" w:rsidR="003E5FE3" w:rsidRPr="00593268" w:rsidRDefault="003E5FE3" w:rsidP="003E5FE3">
      <w:pPr>
        <w:pStyle w:val="ListParagraph"/>
        <w:numPr>
          <w:ilvl w:val="0"/>
          <w:numId w:val="29"/>
        </w:numPr>
        <w:spacing w:after="0" w:line="240" w:lineRule="auto"/>
        <w:jc w:val="both"/>
        <w:rPr>
          <w:rFonts w:ascii="Times New Roman" w:hAnsi="Times New Roman"/>
          <w:b/>
          <w:bCs/>
          <w:iCs/>
          <w:sz w:val="24"/>
          <w:szCs w:val="24"/>
          <w:u w:val="single"/>
        </w:rPr>
      </w:pPr>
      <w:r w:rsidRPr="00593268">
        <w:rPr>
          <w:rFonts w:ascii="Times New Roman" w:hAnsi="Times New Roman"/>
          <w:b/>
          <w:bCs/>
          <w:iCs/>
          <w:sz w:val="24"/>
          <w:szCs w:val="24"/>
          <w:u w:val="single"/>
        </w:rPr>
        <w:t>Plaintiff Has Adequately Pled Direct Action by the Corporate</w:t>
      </w:r>
    </w:p>
    <w:p w14:paraId="5A65822E" w14:textId="78F9880D" w:rsidR="00DA7D5B" w:rsidRPr="00593268" w:rsidRDefault="003E5FE3" w:rsidP="003E5FE3">
      <w:pPr>
        <w:pStyle w:val="ListParagraph"/>
        <w:spacing w:after="0" w:line="240" w:lineRule="auto"/>
        <w:ind w:left="1166"/>
        <w:jc w:val="both"/>
        <w:rPr>
          <w:rFonts w:ascii="Times New Roman" w:hAnsi="Times New Roman"/>
          <w:b/>
          <w:bCs/>
          <w:iCs/>
          <w:sz w:val="24"/>
          <w:szCs w:val="24"/>
          <w:u w:val="single"/>
        </w:rPr>
      </w:pPr>
      <w:r w:rsidRPr="00593268">
        <w:rPr>
          <w:rFonts w:ascii="Times New Roman" w:hAnsi="Times New Roman"/>
          <w:b/>
          <w:bCs/>
          <w:iCs/>
          <w:sz w:val="24"/>
          <w:szCs w:val="24"/>
          <w:u w:val="single"/>
        </w:rPr>
        <w:t>Defendants Sufficient to Establish Direct Action and Ratification</w:t>
      </w:r>
    </w:p>
    <w:p w14:paraId="17E5554F" w14:textId="77777777" w:rsidR="003E5FE3" w:rsidRDefault="003E5FE3" w:rsidP="003E5FE3">
      <w:pPr>
        <w:pStyle w:val="ListParagraph"/>
        <w:spacing w:after="0" w:line="240" w:lineRule="auto"/>
        <w:ind w:left="1166"/>
        <w:jc w:val="both"/>
        <w:rPr>
          <w:rFonts w:ascii="Times New Roman" w:eastAsia="Times New Roman" w:hAnsi="Times New Roman" w:cs="Times New Roman"/>
          <w:sz w:val="24"/>
          <w:szCs w:val="24"/>
        </w:rPr>
      </w:pPr>
    </w:p>
    <w:p w14:paraId="2F97946F" w14:textId="0612C9FF" w:rsidR="003E5FE3" w:rsidRDefault="003E5FE3" w:rsidP="003E5FE3">
      <w:pPr>
        <w:widowControl w:val="0"/>
        <w:suppressAutoHyphen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Defendants argue that there are insufficient allegations to establish direct liability against them. </w:t>
      </w:r>
      <w:r w:rsidRPr="00BF7133">
        <w:rPr>
          <w:rFonts w:ascii="Times New Roman" w:eastAsia="Times New Roman" w:hAnsi="Times New Roman" w:cs="Times New Roman"/>
          <w:b/>
          <w:bCs/>
          <w:sz w:val="24"/>
          <w:szCs w:val="24"/>
        </w:rPr>
        <w:t>Such an argument is misplaced and not appropriately resolved on demurrer</w:t>
      </w:r>
      <w:r w:rsidR="00454288" w:rsidRPr="00BF7133">
        <w:rPr>
          <w:rFonts w:ascii="Times New Roman" w:eastAsia="Times New Roman" w:hAnsi="Times New Roman" w:cs="Times New Roman"/>
          <w:b/>
          <w:bCs/>
          <w:sz w:val="24"/>
          <w:szCs w:val="24"/>
        </w:rPr>
        <w:t>,</w:t>
      </w:r>
      <w:r w:rsidRPr="00BF7133">
        <w:rPr>
          <w:rFonts w:ascii="Times New Roman" w:eastAsia="Times New Roman" w:hAnsi="Times New Roman" w:cs="Times New Roman"/>
          <w:b/>
          <w:bCs/>
          <w:sz w:val="24"/>
          <w:szCs w:val="24"/>
        </w:rPr>
        <w:t xml:space="preserve"> where Plaintiff has </w:t>
      </w:r>
      <w:r w:rsidR="00454288" w:rsidRPr="00BF7133">
        <w:rPr>
          <w:rFonts w:ascii="Times New Roman" w:eastAsia="Times New Roman" w:hAnsi="Times New Roman" w:cs="Times New Roman"/>
          <w:b/>
          <w:bCs/>
          <w:sz w:val="24"/>
          <w:szCs w:val="24"/>
        </w:rPr>
        <w:t xml:space="preserve">properly </w:t>
      </w:r>
      <w:proofErr w:type="gramStart"/>
      <w:r w:rsidRPr="00BF7133">
        <w:rPr>
          <w:rFonts w:ascii="Times New Roman" w:eastAsia="Times New Roman" w:hAnsi="Times New Roman" w:cs="Times New Roman"/>
          <w:b/>
          <w:bCs/>
          <w:sz w:val="24"/>
          <w:szCs w:val="24"/>
        </w:rPr>
        <w:t>pled</w:t>
      </w:r>
      <w:proofErr w:type="gramEnd"/>
      <w:r w:rsidRPr="00BF7133">
        <w:rPr>
          <w:rFonts w:ascii="Times New Roman" w:eastAsia="Times New Roman" w:hAnsi="Times New Roman" w:cs="Times New Roman"/>
          <w:b/>
          <w:bCs/>
          <w:sz w:val="24"/>
          <w:szCs w:val="24"/>
        </w:rPr>
        <w:t xml:space="preserve"> both joint venture liability and vicarious liability.</w:t>
      </w:r>
      <w:r>
        <w:rPr>
          <w:rFonts w:ascii="Times New Roman" w:eastAsia="Times New Roman" w:hAnsi="Times New Roman" w:cs="Times New Roman"/>
          <w:sz w:val="24"/>
          <w:szCs w:val="24"/>
        </w:rPr>
        <w:t xml:space="preserve"> </w:t>
      </w:r>
    </w:p>
    <w:p w14:paraId="2D3FE5A3" w14:textId="77777777" w:rsidR="00BF7133" w:rsidRDefault="00BF7133" w:rsidP="00BF7133">
      <w:pPr>
        <w:widowControl w:val="0"/>
        <w:suppressAutoHyphens/>
        <w:autoSpaceDE w:val="0"/>
        <w:autoSpaceDN w:val="0"/>
        <w:adjustRightInd w:val="0"/>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Not clear what relief the Defendants are seeking </w:t>
      </w:r>
      <w:proofErr w:type="gramStart"/>
      <w:r>
        <w:rPr>
          <w:rFonts w:ascii="Times New Roman" w:eastAsia="Times New Roman" w:hAnsi="Times New Roman" w:cs="Times New Roman"/>
          <w:sz w:val="24"/>
          <w:szCs w:val="24"/>
          <w:u w:val="single"/>
        </w:rPr>
        <w:t>here</w:t>
      </w:r>
      <w:proofErr w:type="gramEnd"/>
    </w:p>
    <w:p w14:paraId="19DBED51" w14:textId="5E102A9E" w:rsidR="00BF7133" w:rsidRPr="00BF7133" w:rsidRDefault="00BF7133" w:rsidP="00BF7133">
      <w:pPr>
        <w:widowControl w:val="0"/>
        <w:suppressAutoHyphens/>
        <w:autoSpaceDE w:val="0"/>
        <w:autoSpaceDN w:val="0"/>
        <w:adjustRightInd w:val="0"/>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lastRenderedPageBreak/>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E619CB8" w14:textId="774CBB06" w:rsidR="00DE297E" w:rsidRDefault="0079167A" w:rsidP="00DE297E">
      <w:pPr>
        <w:widowControl w:val="0"/>
        <w:suppressAutoHyphens/>
        <w:autoSpaceDE w:val="0"/>
        <w:autoSpaceDN w:val="0"/>
        <w:adjustRightInd w:val="0"/>
        <w:spacing w:after="0" w:line="480" w:lineRule="auto"/>
        <w:ind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multiple allegations devoted to the numerous ways that Defendant</w:t>
      </w:r>
      <w:r w:rsidR="0059326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ratified such punitive conduct, Defendants misleadingly argue that Plaintiff has failed to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“any factual allegations that Defendants participated or authorized the alleged negligent acts in Plaintiff’s Amended Complaint at the corporate level.”</w:t>
      </w:r>
      <w:r w:rsidRPr="00BB662F">
        <w:rPr>
          <w:rFonts w:ascii="Times New Roman" w:eastAsia="Times New Roman" w:hAnsi="Times New Roman" w:cs="Times New Roman"/>
          <w:i/>
          <w:iCs/>
          <w:sz w:val="24"/>
          <w:szCs w:val="24"/>
        </w:rPr>
        <w:t xml:space="preserve"> Id</w:t>
      </w:r>
      <w:r>
        <w:rPr>
          <w:rFonts w:ascii="Times New Roman" w:eastAsia="Times New Roman" w:hAnsi="Times New Roman" w:cs="Times New Roman"/>
          <w:sz w:val="24"/>
          <w:szCs w:val="24"/>
        </w:rPr>
        <w:t>. at 11.</w:t>
      </w:r>
      <w:r w:rsidRPr="004349FE">
        <w:rPr>
          <w:rStyle w:val="FootnoteReference"/>
          <w:rFonts w:eastAsia="Times New Roman" w:cs="Times New Roman"/>
          <w:szCs w:val="24"/>
          <w:vertAlign w:val="superscript"/>
        </w:rPr>
        <w:footnoteReference w:id="12"/>
      </w:r>
      <w:r>
        <w:rPr>
          <w:rFonts w:ascii="Times New Roman" w:eastAsia="Times New Roman" w:hAnsi="Times New Roman" w:cs="Times New Roman"/>
          <w:sz w:val="24"/>
          <w:szCs w:val="24"/>
        </w:rPr>
        <w:t xml:space="preserve"> </w:t>
      </w:r>
      <w:r w:rsidR="00DE297E">
        <w:rPr>
          <w:rFonts w:ascii="Times New Roman" w:eastAsia="Times New Roman" w:hAnsi="Times New Roman" w:cs="Times New Roman"/>
          <w:sz w:val="24"/>
          <w:szCs w:val="24"/>
        </w:rPr>
        <w:t xml:space="preserve">As a threshold issue, </w:t>
      </w:r>
      <w:r w:rsidR="00DE297E" w:rsidRPr="00DE297E">
        <w:rPr>
          <w:rFonts w:ascii="Times New Roman" w:eastAsia="Times New Roman" w:hAnsi="Times New Roman" w:cs="Times New Roman"/>
          <w:sz w:val="24"/>
          <w:szCs w:val="24"/>
        </w:rPr>
        <w:t>only slight acts of ratification are necessary to support a claim of punitive damages</w:t>
      </w:r>
      <w:r w:rsidR="00DE297E">
        <w:rPr>
          <w:rFonts w:ascii="Times New Roman" w:eastAsia="Times New Roman" w:hAnsi="Times New Roman" w:cs="Times New Roman"/>
          <w:sz w:val="24"/>
          <w:szCs w:val="24"/>
        </w:rPr>
        <w:t xml:space="preserve"> against a principal. </w:t>
      </w:r>
      <w:r w:rsidR="00815C5A">
        <w:rPr>
          <w:rFonts w:ascii="Times New Roman" w:eastAsia="Times New Roman" w:hAnsi="Times New Roman" w:cs="Times New Roman"/>
          <w:sz w:val="24"/>
          <w:szCs w:val="24"/>
        </w:rPr>
        <w:t xml:space="preserve">22 Am. </w:t>
      </w:r>
      <w:proofErr w:type="spellStart"/>
      <w:r w:rsidR="00815C5A">
        <w:rPr>
          <w:rFonts w:ascii="Times New Roman" w:eastAsia="Times New Roman" w:hAnsi="Times New Roman" w:cs="Times New Roman"/>
          <w:sz w:val="24"/>
          <w:szCs w:val="24"/>
        </w:rPr>
        <w:t>Jur</w:t>
      </w:r>
      <w:proofErr w:type="spellEnd"/>
      <w:r w:rsidR="00815C5A">
        <w:rPr>
          <w:rFonts w:ascii="Times New Roman" w:eastAsia="Times New Roman" w:hAnsi="Times New Roman" w:cs="Times New Roman"/>
          <w:sz w:val="24"/>
          <w:szCs w:val="24"/>
        </w:rPr>
        <w:t>. 2d, § 789 (1988), citing,</w:t>
      </w:r>
      <w:r w:rsidR="00DE297E">
        <w:rPr>
          <w:rFonts w:ascii="Times New Roman" w:eastAsia="Times New Roman" w:hAnsi="Times New Roman" w:cs="Times New Roman"/>
          <w:sz w:val="24"/>
          <w:szCs w:val="24"/>
        </w:rPr>
        <w:t xml:space="preserve"> </w:t>
      </w:r>
      <w:r w:rsidR="00DE297E" w:rsidRPr="00EC54EA">
        <w:rPr>
          <w:rFonts w:ascii="Times New Roman" w:eastAsia="Times New Roman" w:hAnsi="Times New Roman" w:cs="Times New Roman"/>
          <w:i/>
          <w:iCs/>
          <w:sz w:val="24"/>
          <w:szCs w:val="24"/>
        </w:rPr>
        <w:t>Norfolk &amp; W.R. Co v. Anderson</w:t>
      </w:r>
      <w:r w:rsidR="00DE297E">
        <w:rPr>
          <w:rFonts w:ascii="Times New Roman" w:eastAsia="Times New Roman" w:hAnsi="Times New Roman" w:cs="Times New Roman"/>
          <w:sz w:val="24"/>
          <w:szCs w:val="24"/>
        </w:rPr>
        <w:t>, 90 Va. 1, 17 S.E. 757 (1893)</w:t>
      </w:r>
      <w:r w:rsidR="00815C5A">
        <w:rPr>
          <w:rFonts w:ascii="Times New Roman" w:eastAsia="Times New Roman" w:hAnsi="Times New Roman" w:cs="Times New Roman"/>
          <w:sz w:val="24"/>
          <w:szCs w:val="24"/>
        </w:rPr>
        <w:t xml:space="preserve">(Ratification found </w:t>
      </w:r>
      <w:r w:rsidR="00DE297E">
        <w:rPr>
          <w:rFonts w:ascii="Times New Roman" w:eastAsia="Times New Roman" w:hAnsi="Times New Roman" w:cs="Times New Roman"/>
          <w:sz w:val="24"/>
          <w:szCs w:val="24"/>
        </w:rPr>
        <w:t>based on the general passenger agent’s refusal to honor Plaintiff’s train ticket after he was kicked off the train by the conductor</w:t>
      </w:r>
      <w:r w:rsidR="00815C5A">
        <w:rPr>
          <w:rFonts w:ascii="Times New Roman" w:eastAsia="Times New Roman" w:hAnsi="Times New Roman" w:cs="Times New Roman"/>
          <w:sz w:val="24"/>
          <w:szCs w:val="24"/>
        </w:rPr>
        <w:t>)</w:t>
      </w:r>
      <w:r w:rsidR="00DE297E">
        <w:rPr>
          <w:rFonts w:ascii="Times New Roman" w:eastAsia="Times New Roman" w:hAnsi="Times New Roman" w:cs="Times New Roman"/>
          <w:sz w:val="24"/>
          <w:szCs w:val="24"/>
        </w:rPr>
        <w:t xml:space="preserve">.   </w:t>
      </w:r>
    </w:p>
    <w:p w14:paraId="41A77E2D" w14:textId="07E42EC7" w:rsidR="00903214" w:rsidRDefault="003E5FE3" w:rsidP="003E5FE3">
      <w:pPr>
        <w:widowControl w:val="0"/>
        <w:suppressAutoHyphen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5C5A">
        <w:rPr>
          <w:rFonts w:ascii="Times New Roman" w:eastAsia="Times New Roman" w:hAnsi="Times New Roman" w:cs="Times New Roman"/>
          <w:sz w:val="24"/>
          <w:szCs w:val="24"/>
        </w:rPr>
        <w:t>Here</w:t>
      </w:r>
      <w:r w:rsidR="004D6A2B">
        <w:rPr>
          <w:rFonts w:ascii="Times New Roman" w:eastAsia="Times New Roman" w:hAnsi="Times New Roman" w:cs="Times New Roman"/>
          <w:sz w:val="24"/>
          <w:szCs w:val="24"/>
        </w:rPr>
        <w:t>,</w:t>
      </w:r>
      <w:r w:rsidR="009032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Plaintiff has</w:t>
      </w:r>
      <w:r w:rsidR="00815C5A">
        <w:rPr>
          <w:rFonts w:ascii="Times New Roman" w:eastAsia="Times New Roman" w:hAnsi="Times New Roman" w:cs="Times New Roman"/>
          <w:sz w:val="24"/>
          <w:szCs w:val="24"/>
        </w:rPr>
        <w:t xml:space="preserve"> also </w:t>
      </w:r>
      <w:r w:rsidR="0002337E">
        <w:rPr>
          <w:rFonts w:ascii="Times New Roman" w:eastAsia="Times New Roman" w:hAnsi="Times New Roman" w:cs="Times New Roman"/>
          <w:sz w:val="24"/>
          <w:szCs w:val="24"/>
        </w:rPr>
        <w:t xml:space="preserve">alleged </w:t>
      </w:r>
      <w:r>
        <w:rPr>
          <w:rFonts w:ascii="Times New Roman" w:eastAsia="Times New Roman" w:hAnsi="Times New Roman" w:cs="Times New Roman"/>
          <w:sz w:val="24"/>
          <w:szCs w:val="24"/>
        </w:rPr>
        <w:t>direct action in the facilit</w:t>
      </w:r>
      <w:r w:rsidR="0002337E">
        <w:rPr>
          <w:rFonts w:ascii="Times New Roman" w:eastAsia="Times New Roman" w:hAnsi="Times New Roman" w:cs="Times New Roman"/>
          <w:sz w:val="24"/>
          <w:szCs w:val="24"/>
        </w:rPr>
        <w:t>y’s failure to provide sufficient staffing to meet Ms. McCorkle’s needs, along with failures of  Manager, Don Wright, to modify Plaintiff’s care plan to address her dangerous behaviors in attempting to self-bath and toilet without assistance.</w:t>
      </w:r>
      <w:r w:rsidR="0002337E" w:rsidRPr="00267144">
        <w:rPr>
          <w:rStyle w:val="FootnoteReference"/>
          <w:rFonts w:eastAsia="Times New Roman" w:cs="Times New Roman"/>
          <w:szCs w:val="24"/>
          <w:vertAlign w:val="superscript"/>
        </w:rPr>
        <w:footnoteReference w:id="13"/>
      </w:r>
      <w:r w:rsidR="0002337E" w:rsidRPr="00267144">
        <w:rPr>
          <w:rFonts w:ascii="Times New Roman" w:eastAsia="Times New Roman" w:hAnsi="Times New Roman" w:cs="Times New Roman"/>
          <w:sz w:val="24"/>
          <w:szCs w:val="24"/>
          <w:vertAlign w:val="superscript"/>
        </w:rPr>
        <w:t xml:space="preserve"> </w:t>
      </w:r>
      <w:r w:rsidR="0002337E">
        <w:rPr>
          <w:rFonts w:ascii="Times New Roman" w:eastAsia="Times New Roman" w:hAnsi="Times New Roman" w:cs="Times New Roman"/>
          <w:sz w:val="24"/>
          <w:szCs w:val="24"/>
        </w:rPr>
        <w:t xml:space="preserve">(Amended Complaint, ¶¶ 13, 16, 24 &amp; 32(j)). </w:t>
      </w:r>
      <w:r w:rsidR="00903214">
        <w:rPr>
          <w:rFonts w:ascii="Times New Roman" w:eastAsia="Times New Roman" w:hAnsi="Times New Roman" w:cs="Times New Roman"/>
          <w:sz w:val="24"/>
          <w:szCs w:val="24"/>
        </w:rPr>
        <w:t xml:space="preserve"> As the attached organization chart of Greenspring reflects, there is no person higher than the Administrator</w:t>
      </w:r>
      <w:r w:rsidR="00267144">
        <w:rPr>
          <w:rFonts w:ascii="Times New Roman" w:eastAsia="Times New Roman" w:hAnsi="Times New Roman" w:cs="Times New Roman"/>
          <w:sz w:val="24"/>
          <w:szCs w:val="24"/>
        </w:rPr>
        <w:t xml:space="preserve"> within the Greenspring </w:t>
      </w:r>
      <w:r w:rsidR="0079167A">
        <w:rPr>
          <w:rFonts w:ascii="Times New Roman" w:eastAsia="Times New Roman" w:hAnsi="Times New Roman" w:cs="Times New Roman"/>
          <w:sz w:val="24"/>
          <w:szCs w:val="24"/>
        </w:rPr>
        <w:t>organization</w:t>
      </w:r>
      <w:r w:rsidR="00903214">
        <w:rPr>
          <w:rFonts w:ascii="Times New Roman" w:eastAsia="Times New Roman" w:hAnsi="Times New Roman" w:cs="Times New Roman"/>
          <w:sz w:val="24"/>
          <w:szCs w:val="24"/>
        </w:rPr>
        <w:t>. (</w:t>
      </w:r>
      <w:proofErr w:type="spellStart"/>
      <w:r w:rsidR="00903214">
        <w:rPr>
          <w:rFonts w:ascii="Times New Roman" w:eastAsia="Times New Roman" w:hAnsi="Times New Roman" w:cs="Times New Roman"/>
          <w:sz w:val="24"/>
          <w:szCs w:val="24"/>
        </w:rPr>
        <w:t>Exh</w:t>
      </w:r>
      <w:proofErr w:type="spellEnd"/>
      <w:r w:rsidR="00903214">
        <w:rPr>
          <w:rFonts w:ascii="Times New Roman" w:eastAsia="Times New Roman" w:hAnsi="Times New Roman" w:cs="Times New Roman"/>
          <w:sz w:val="24"/>
          <w:szCs w:val="24"/>
        </w:rPr>
        <w:t xml:space="preserve">.   </w:t>
      </w:r>
      <w:r w:rsidR="00A57F6C">
        <w:rPr>
          <w:rFonts w:ascii="Times New Roman" w:eastAsia="Times New Roman" w:hAnsi="Times New Roman" w:cs="Times New Roman"/>
          <w:sz w:val="24"/>
          <w:szCs w:val="24"/>
        </w:rPr>
        <w:t>5</w:t>
      </w:r>
      <w:r w:rsidR="00267144">
        <w:rPr>
          <w:rFonts w:ascii="Times New Roman" w:eastAsia="Times New Roman" w:hAnsi="Times New Roman" w:cs="Times New Roman"/>
          <w:sz w:val="24"/>
          <w:szCs w:val="24"/>
        </w:rPr>
        <w:t>).</w:t>
      </w:r>
    </w:p>
    <w:p w14:paraId="140ED342" w14:textId="4E8318C1" w:rsidR="004349FE" w:rsidRPr="00ED6362" w:rsidRDefault="00267144" w:rsidP="00815C5A">
      <w:pPr>
        <w:widowControl w:val="0"/>
        <w:suppressAutoHyphen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Under Virginia law direct action and ratification can be established by showing misconduct </w:t>
      </w:r>
      <w:r>
        <w:rPr>
          <w:rFonts w:ascii="Times New Roman" w:eastAsia="Times New Roman" w:hAnsi="Times New Roman" w:cs="Times New Roman"/>
          <w:sz w:val="24"/>
          <w:szCs w:val="24"/>
        </w:rPr>
        <w:lastRenderedPageBreak/>
        <w:t xml:space="preserve">of the </w:t>
      </w:r>
      <w:r w:rsidR="0011655B">
        <w:rPr>
          <w:rFonts w:ascii="Times New Roman" w:eastAsia="Times New Roman" w:hAnsi="Times New Roman" w:cs="Times New Roman"/>
          <w:sz w:val="24"/>
          <w:szCs w:val="24"/>
        </w:rPr>
        <w:t>a</w:t>
      </w:r>
      <w:r w:rsidR="00454288">
        <w:rPr>
          <w:rFonts w:ascii="Times New Roman" w:eastAsia="Times New Roman" w:hAnsi="Times New Roman" w:cs="Times New Roman"/>
          <w:sz w:val="24"/>
          <w:szCs w:val="24"/>
        </w:rPr>
        <w:t xml:space="preserve">dministrator or </w:t>
      </w:r>
      <w:r>
        <w:rPr>
          <w:rFonts w:ascii="Times New Roman" w:eastAsia="Times New Roman" w:hAnsi="Times New Roman" w:cs="Times New Roman"/>
          <w:sz w:val="24"/>
          <w:szCs w:val="24"/>
        </w:rPr>
        <w:t>management staff.</w:t>
      </w:r>
      <w:r w:rsidR="004227D7" w:rsidRPr="00E074FC">
        <w:rPr>
          <w:rStyle w:val="FootnoteReference"/>
          <w:rFonts w:eastAsia="Times New Roman" w:cs="Times New Roman"/>
          <w:szCs w:val="24"/>
          <w:vertAlign w:val="superscript"/>
        </w:rPr>
        <w:footnoteReference w:id="14"/>
      </w:r>
      <w:r w:rsidRPr="00E074FC">
        <w:rPr>
          <w:rFonts w:ascii="Times New Roman" w:eastAsia="Times New Roman" w:hAnsi="Times New Roman" w:cs="Times New Roman"/>
          <w:sz w:val="24"/>
          <w:szCs w:val="24"/>
          <w:vertAlign w:val="superscript"/>
        </w:rPr>
        <w:t xml:space="preserve"> </w:t>
      </w:r>
      <w:r w:rsidR="00E074FC">
        <w:rPr>
          <w:rFonts w:ascii="Times New Roman" w:eastAsia="Times New Roman" w:hAnsi="Times New Roman" w:cs="Times New Roman"/>
          <w:sz w:val="24"/>
          <w:szCs w:val="24"/>
        </w:rPr>
        <w:t xml:space="preserve"> In </w:t>
      </w:r>
      <w:r w:rsidR="00E074FC" w:rsidRPr="00DF1DF2">
        <w:rPr>
          <w:rFonts w:ascii="Times New Roman" w:eastAsia="Times New Roman" w:hAnsi="Times New Roman" w:cs="Times New Roman"/>
          <w:i/>
          <w:iCs/>
          <w:sz w:val="24"/>
          <w:szCs w:val="24"/>
        </w:rPr>
        <w:t>Egan v. Butler</w:t>
      </w:r>
      <w:r w:rsidR="00E074FC">
        <w:rPr>
          <w:rFonts w:ascii="Times New Roman" w:eastAsia="Times New Roman" w:hAnsi="Times New Roman" w:cs="Times New Roman"/>
          <w:sz w:val="24"/>
          <w:szCs w:val="24"/>
        </w:rPr>
        <w:t xml:space="preserve">, </w:t>
      </w:r>
      <w:r w:rsidR="00DF1DF2">
        <w:rPr>
          <w:rFonts w:ascii="Times New Roman" w:eastAsia="Times New Roman" w:hAnsi="Times New Roman" w:cs="Times New Roman"/>
          <w:sz w:val="24"/>
          <w:szCs w:val="24"/>
        </w:rPr>
        <w:t xml:space="preserve">290 Va. 62, 772 S.E.2d 765 (2015) </w:t>
      </w:r>
      <w:r w:rsidR="00E074FC">
        <w:rPr>
          <w:rFonts w:ascii="Times New Roman" w:eastAsia="Times New Roman" w:hAnsi="Times New Roman" w:cs="Times New Roman"/>
          <w:sz w:val="24"/>
          <w:szCs w:val="24"/>
        </w:rPr>
        <w:t xml:space="preserve">the </w:t>
      </w:r>
      <w:r w:rsidR="00DF1DF2">
        <w:rPr>
          <w:rFonts w:ascii="Times New Roman" w:eastAsia="Times New Roman" w:hAnsi="Times New Roman" w:cs="Times New Roman"/>
          <w:sz w:val="24"/>
          <w:szCs w:val="24"/>
        </w:rPr>
        <w:t xml:space="preserve">Virginia Supreme Court, relying on the Restatement (Second) of Torts, considered the discrete issue of what would constitute actual participation in misconduct, sufficient to render a company liable for punitive damages. </w:t>
      </w:r>
      <w:r w:rsidR="00DF1DF2" w:rsidRPr="00593268">
        <w:rPr>
          <w:rFonts w:ascii="Times New Roman" w:eastAsia="Times New Roman" w:hAnsi="Times New Roman" w:cs="Times New Roman"/>
          <w:b/>
          <w:bCs/>
          <w:sz w:val="24"/>
          <w:szCs w:val="24"/>
        </w:rPr>
        <w:t>The Supreme Court found that where an individual was employed in a managerial capacity and acting within the scope of his employment, this was sufficient to establish participation and ratification</w:t>
      </w:r>
      <w:r w:rsidR="00DF1DF2">
        <w:rPr>
          <w:rFonts w:ascii="Times New Roman" w:eastAsia="Times New Roman" w:hAnsi="Times New Roman" w:cs="Times New Roman"/>
          <w:sz w:val="24"/>
          <w:szCs w:val="24"/>
        </w:rPr>
        <w:t>.</w:t>
      </w:r>
      <w:r w:rsidR="00DF1DF2" w:rsidRPr="00DF1DF2">
        <w:rPr>
          <w:rStyle w:val="FootnoteReference"/>
          <w:rFonts w:eastAsia="Times New Roman" w:cs="Times New Roman"/>
          <w:szCs w:val="24"/>
          <w:vertAlign w:val="superscript"/>
        </w:rPr>
        <w:footnoteReference w:id="15"/>
      </w:r>
      <w:r w:rsidR="00DF1DF2" w:rsidRPr="00DF1DF2">
        <w:rPr>
          <w:rFonts w:ascii="Times New Roman" w:eastAsia="Times New Roman" w:hAnsi="Times New Roman" w:cs="Times New Roman"/>
          <w:sz w:val="24"/>
          <w:szCs w:val="24"/>
          <w:vertAlign w:val="superscript"/>
        </w:rPr>
        <w:t xml:space="preserve">  </w:t>
      </w:r>
      <w:r w:rsidR="00593268">
        <w:rPr>
          <w:rFonts w:ascii="Times New Roman" w:eastAsia="Times New Roman" w:hAnsi="Times New Roman" w:cs="Times New Roman"/>
          <w:sz w:val="24"/>
          <w:szCs w:val="24"/>
        </w:rPr>
        <w:t xml:space="preserve">(Emphasis added). </w:t>
      </w:r>
      <w:r w:rsidR="00815C5A">
        <w:rPr>
          <w:rFonts w:ascii="Times New Roman" w:eastAsia="Times New Roman" w:hAnsi="Times New Roman" w:cs="Times New Roman"/>
          <w:sz w:val="24"/>
          <w:szCs w:val="24"/>
        </w:rPr>
        <w:t xml:space="preserve">Similarly, where such </w:t>
      </w:r>
      <w:proofErr w:type="gramStart"/>
      <w:r w:rsidR="00815C5A">
        <w:rPr>
          <w:rFonts w:ascii="Times New Roman" w:eastAsia="Times New Roman" w:hAnsi="Times New Roman" w:cs="Times New Roman"/>
          <w:sz w:val="24"/>
          <w:szCs w:val="24"/>
        </w:rPr>
        <w:t>the</w:t>
      </w:r>
      <w:proofErr w:type="gramEnd"/>
      <w:r w:rsidR="00815C5A">
        <w:rPr>
          <w:rFonts w:ascii="Times New Roman" w:eastAsia="Times New Roman" w:hAnsi="Times New Roman" w:cs="Times New Roman"/>
          <w:sz w:val="24"/>
          <w:szCs w:val="24"/>
        </w:rPr>
        <w:t xml:space="preserve"> corporation was aware of such misconduct, it can be found liable for punitive. </w:t>
      </w:r>
      <w:r w:rsidR="00EC54EA" w:rsidRPr="00EC54EA">
        <w:rPr>
          <w:rFonts w:ascii="Times New Roman" w:eastAsia="Times New Roman" w:hAnsi="Times New Roman" w:cs="Times New Roman"/>
          <w:i/>
          <w:iCs/>
          <w:sz w:val="24"/>
          <w:szCs w:val="24"/>
        </w:rPr>
        <w:t>Jordan v. Suave</w:t>
      </w:r>
      <w:r w:rsidR="00EC54EA">
        <w:rPr>
          <w:rFonts w:ascii="Times New Roman" w:eastAsia="Times New Roman" w:hAnsi="Times New Roman" w:cs="Times New Roman"/>
          <w:sz w:val="24"/>
          <w:szCs w:val="24"/>
        </w:rPr>
        <w:t>, 219 Va. 448, 247 S.E.2d 739 (1978)(Car dealership that knew of salesman’s fraud would be liable for punitive damages)</w:t>
      </w:r>
      <w:r w:rsidR="00815C5A">
        <w:rPr>
          <w:rFonts w:ascii="Times New Roman" w:eastAsia="Times New Roman" w:hAnsi="Times New Roman" w:cs="Times New Roman"/>
          <w:sz w:val="24"/>
          <w:szCs w:val="24"/>
        </w:rPr>
        <w:t xml:space="preserve">. </w:t>
      </w:r>
    </w:p>
    <w:p w14:paraId="291F9672" w14:textId="6FCAC089" w:rsidR="00BE4BB0" w:rsidRDefault="00BE4BB0" w:rsidP="00BE4BB0">
      <w:pPr>
        <w:pStyle w:val="ListParagraph"/>
        <w:widowControl w:val="0"/>
        <w:numPr>
          <w:ilvl w:val="0"/>
          <w:numId w:val="29"/>
        </w:numPr>
        <w:suppressAutoHyphens/>
        <w:autoSpaceDE w:val="0"/>
        <w:autoSpaceDN w:val="0"/>
        <w:adjustRightInd w:val="0"/>
        <w:spacing w:after="0" w:line="480" w:lineRule="auto"/>
        <w:jc w:val="both"/>
        <w:rPr>
          <w:rFonts w:ascii="Times New Roman" w:eastAsia="Times New Roman" w:hAnsi="Times New Roman" w:cs="Times New Roman"/>
          <w:b/>
          <w:bCs/>
          <w:sz w:val="24"/>
          <w:szCs w:val="24"/>
          <w:u w:val="single"/>
        </w:rPr>
      </w:pPr>
      <w:r w:rsidRPr="00BE4BB0">
        <w:rPr>
          <w:rFonts w:ascii="Times New Roman" w:eastAsia="Times New Roman" w:hAnsi="Times New Roman" w:cs="Times New Roman"/>
          <w:b/>
          <w:bCs/>
          <w:sz w:val="24"/>
          <w:szCs w:val="24"/>
          <w:u w:val="single"/>
        </w:rPr>
        <w:t>Negligence Per Se is Not a Separate Cause of Action Subject to Demurrer</w:t>
      </w:r>
    </w:p>
    <w:p w14:paraId="504930E5" w14:textId="5F5B2F46" w:rsidR="00716606" w:rsidRDefault="00716606" w:rsidP="00716606">
      <w:pPr>
        <w:widowControl w:val="0"/>
        <w:suppressAutoHyphens/>
        <w:autoSpaceDE w:val="0"/>
        <w:autoSpaceDN w:val="0"/>
        <w:adjustRightInd w:val="0"/>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her initial complaint Plaintiff alleged the violation of assisted living regulations which</w:t>
      </w:r>
    </w:p>
    <w:p w14:paraId="6C17291A" w14:textId="2AFDEF28" w:rsidR="0096118B" w:rsidRDefault="00716606" w:rsidP="00716606">
      <w:pPr>
        <w:widowControl w:val="0"/>
        <w:suppressAutoHyphen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experts </w:t>
      </w:r>
      <w:r w:rsidR="00815C5A">
        <w:rPr>
          <w:rFonts w:ascii="Times New Roman" w:eastAsia="Times New Roman" w:hAnsi="Times New Roman" w:cs="Times New Roman"/>
          <w:sz w:val="24"/>
          <w:szCs w:val="24"/>
        </w:rPr>
        <w:t xml:space="preserve">will explain </w:t>
      </w:r>
      <w:r>
        <w:rPr>
          <w:rFonts w:ascii="Times New Roman" w:eastAsia="Times New Roman" w:hAnsi="Times New Roman" w:cs="Times New Roman"/>
          <w:sz w:val="24"/>
          <w:szCs w:val="24"/>
        </w:rPr>
        <w:t>set standards of care for Greenspring</w:t>
      </w:r>
      <w:r w:rsidR="00815C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Plaintiff amended her complaint to add additional supporting facts as revealed in discovery and assure that the Defendants would not be able to claim surprise</w:t>
      </w:r>
      <w:r w:rsidR="0096118B">
        <w:rPr>
          <w:rFonts w:ascii="Times New Roman" w:eastAsia="Times New Roman" w:hAnsi="Times New Roman" w:cs="Times New Roman"/>
          <w:sz w:val="24"/>
          <w:szCs w:val="24"/>
        </w:rPr>
        <w:t xml:space="preserve"> when Plaintiff sought jury instructions based on these regulatory standards.  Defendants made the same argument in opposing the Motion to Amend, which was implicitly rejected by this Court when it allowed Plaintiff to amend the complaint to include negligence per se allegations. </w:t>
      </w:r>
    </w:p>
    <w:p w14:paraId="6ACC9A6F" w14:textId="1ECE4EFA" w:rsidR="00DD4E25" w:rsidRPr="00DD4E25" w:rsidRDefault="00DD4E25" w:rsidP="00DD4E25">
      <w:pPr>
        <w:widowControl w:val="0"/>
        <w:suppressAutoHyphens/>
        <w:autoSpaceDE w:val="0"/>
        <w:autoSpaceDN w:val="0"/>
        <w:adjustRightInd w:val="0"/>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lastRenderedPageBreak/>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B5635FF" w14:textId="6D444E27" w:rsidR="0096118B" w:rsidRDefault="0096118B" w:rsidP="00716606">
      <w:pPr>
        <w:widowControl w:val="0"/>
        <w:suppressAutoHyphen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Defendants ignore the fact that the regulations themselves reflect that they are “standards for licensed assisted living facilities” and that the preamble to these regulations state that “[t]</w:t>
      </w:r>
      <w:proofErr w:type="gramStart"/>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purpose of these regulations is to set minimum and reasonable standards</w:t>
      </w:r>
      <w:r w:rsidR="0017382C">
        <w:rPr>
          <w:rFonts w:ascii="Times New Roman" w:eastAsia="Times New Roman" w:hAnsi="Times New Roman" w:cs="Times New Roman"/>
          <w:sz w:val="24"/>
          <w:szCs w:val="24"/>
        </w:rPr>
        <w:t xml:space="preserve"> for licensure of assisted living facilities.”</w:t>
      </w:r>
      <w:r w:rsidR="00267669">
        <w:rPr>
          <w:rFonts w:ascii="Times New Roman" w:eastAsia="Times New Roman" w:hAnsi="Times New Roman" w:cs="Times New Roman"/>
          <w:sz w:val="24"/>
          <w:szCs w:val="24"/>
        </w:rPr>
        <w:t xml:space="preserve"> (</w:t>
      </w:r>
      <w:proofErr w:type="spellStart"/>
      <w:r w:rsidR="00267669">
        <w:rPr>
          <w:rFonts w:ascii="Times New Roman" w:eastAsia="Times New Roman" w:hAnsi="Times New Roman" w:cs="Times New Roman"/>
          <w:sz w:val="24"/>
          <w:szCs w:val="24"/>
        </w:rPr>
        <w:t>Exh</w:t>
      </w:r>
      <w:proofErr w:type="spellEnd"/>
      <w:r w:rsidR="00267669">
        <w:rPr>
          <w:rFonts w:ascii="Times New Roman" w:eastAsia="Times New Roman" w:hAnsi="Times New Roman" w:cs="Times New Roman"/>
          <w:sz w:val="24"/>
          <w:szCs w:val="24"/>
        </w:rPr>
        <w:t xml:space="preserve">. No. </w:t>
      </w:r>
      <w:r w:rsidR="00A57F6C">
        <w:rPr>
          <w:rFonts w:ascii="Times New Roman" w:eastAsia="Times New Roman" w:hAnsi="Times New Roman" w:cs="Times New Roman"/>
          <w:sz w:val="24"/>
          <w:szCs w:val="24"/>
        </w:rPr>
        <w:t>6</w:t>
      </w:r>
      <w:r w:rsidR="00267669">
        <w:rPr>
          <w:rFonts w:ascii="Times New Roman" w:eastAsia="Times New Roman" w:hAnsi="Times New Roman" w:cs="Times New Roman"/>
          <w:sz w:val="24"/>
          <w:szCs w:val="24"/>
        </w:rPr>
        <w:t xml:space="preserve">) </w:t>
      </w:r>
    </w:p>
    <w:p w14:paraId="5F5A6F70" w14:textId="27119644" w:rsidR="00682C45" w:rsidRDefault="00682C45" w:rsidP="00682C45">
      <w:pPr>
        <w:widowControl w:val="0"/>
        <w:suppressAutoHyphen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82C45">
        <w:rPr>
          <w:rFonts w:ascii="Times New Roman" w:eastAsia="Times New Roman" w:hAnsi="Times New Roman" w:cs="Times New Roman"/>
          <w:sz w:val="24"/>
          <w:szCs w:val="24"/>
        </w:rPr>
        <w:t>The doctrine of negligence per se represents the adoption of "the requirements of a legislative enactment as the standard of conduct of a reasonable [person</w:t>
      </w:r>
      <w:r w:rsidRPr="00682C45">
        <w:rPr>
          <w:rFonts w:ascii="Times New Roman" w:eastAsia="Times New Roman" w:hAnsi="Times New Roman" w:cs="Times New Roman"/>
          <w:i/>
          <w:iCs/>
          <w:sz w:val="24"/>
          <w:szCs w:val="24"/>
        </w:rPr>
        <w:t>]." Butler v. Frieden</w:t>
      </w:r>
      <w:r w:rsidRPr="00682C45">
        <w:rPr>
          <w:rFonts w:ascii="Times New Roman" w:eastAsia="Times New Roman" w:hAnsi="Times New Roman" w:cs="Times New Roman"/>
          <w:sz w:val="24"/>
          <w:szCs w:val="24"/>
        </w:rPr>
        <w:t>, 208 Va. 352, 353, 158 S.E.2d 121, 122 (</w:t>
      </w:r>
      <w:proofErr w:type="gramStart"/>
      <w:r w:rsidRPr="00682C45">
        <w:rPr>
          <w:rFonts w:ascii="Times New Roman" w:eastAsia="Times New Roman" w:hAnsi="Times New Roman" w:cs="Times New Roman"/>
          <w:sz w:val="24"/>
          <w:szCs w:val="24"/>
        </w:rPr>
        <w:t>1967)</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While </w:t>
      </w:r>
      <w:r w:rsidR="0026766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Norfolk dog leash ordinance did not establish a private cause action, it set a standard of conduct that was relevant in determining whether Defendant was negligent).  </w:t>
      </w:r>
      <w:r w:rsidRPr="00682C45">
        <w:rPr>
          <w:rFonts w:ascii="Times New Roman" w:eastAsia="Times New Roman" w:hAnsi="Times New Roman" w:cs="Times New Roman"/>
          <w:sz w:val="24"/>
          <w:szCs w:val="24"/>
        </w:rPr>
        <w:t>When applicable</w:t>
      </w:r>
      <w:r w:rsidR="00267669">
        <w:rPr>
          <w:rFonts w:ascii="Times New Roman" w:eastAsia="Times New Roman" w:hAnsi="Times New Roman" w:cs="Times New Roman"/>
          <w:sz w:val="24"/>
          <w:szCs w:val="24"/>
        </w:rPr>
        <w:t>,</w:t>
      </w:r>
      <w:r w:rsidRPr="00267669">
        <w:rPr>
          <w:rStyle w:val="FootnoteReference"/>
          <w:rFonts w:eastAsia="Times New Roman" w:cs="Times New Roman"/>
          <w:szCs w:val="24"/>
          <w:vertAlign w:val="superscript"/>
        </w:rPr>
        <w:footnoteReference w:id="16"/>
      </w:r>
      <w:r w:rsidRPr="00682C45">
        <w:rPr>
          <w:rFonts w:ascii="Times New Roman" w:eastAsia="Times New Roman" w:hAnsi="Times New Roman" w:cs="Times New Roman"/>
          <w:sz w:val="24"/>
          <w:szCs w:val="24"/>
        </w:rPr>
        <w:t xml:space="preserve"> the violation of a statute or municipal ordinance adopted for public safety constitutes negligence because the violation is the failure to abide by a particular standard of care </w:t>
      </w:r>
      <w:r w:rsidR="00267669">
        <w:rPr>
          <w:rFonts w:ascii="Times New Roman" w:eastAsia="Times New Roman" w:hAnsi="Times New Roman" w:cs="Times New Roman"/>
          <w:sz w:val="24"/>
          <w:szCs w:val="24"/>
        </w:rPr>
        <w:t xml:space="preserve">that has been </w:t>
      </w:r>
      <w:r w:rsidRPr="00682C45">
        <w:rPr>
          <w:rFonts w:ascii="Times New Roman" w:eastAsia="Times New Roman" w:hAnsi="Times New Roman" w:cs="Times New Roman"/>
          <w:sz w:val="24"/>
          <w:szCs w:val="24"/>
        </w:rPr>
        <w:t xml:space="preserve">prescribed by </w:t>
      </w:r>
      <w:r w:rsidR="00267669">
        <w:rPr>
          <w:rFonts w:ascii="Times New Roman" w:eastAsia="Times New Roman" w:hAnsi="Times New Roman" w:cs="Times New Roman"/>
          <w:sz w:val="24"/>
          <w:szCs w:val="24"/>
        </w:rPr>
        <w:t>law</w:t>
      </w:r>
      <w:r w:rsidRPr="00682C45">
        <w:rPr>
          <w:rFonts w:ascii="Times New Roman" w:eastAsia="Times New Roman" w:hAnsi="Times New Roman" w:cs="Times New Roman"/>
          <w:sz w:val="24"/>
          <w:szCs w:val="24"/>
        </w:rPr>
        <w:t xml:space="preserve">. </w:t>
      </w:r>
      <w:r w:rsidRPr="00682C45">
        <w:rPr>
          <w:rFonts w:ascii="Times New Roman" w:eastAsia="Times New Roman" w:hAnsi="Times New Roman" w:cs="Times New Roman"/>
          <w:i/>
          <w:iCs/>
          <w:sz w:val="24"/>
          <w:szCs w:val="24"/>
        </w:rPr>
        <w:t>Moore v. Virginia Transit Co</w:t>
      </w:r>
      <w:r w:rsidRPr="00682C45">
        <w:rPr>
          <w:rFonts w:ascii="Times New Roman" w:eastAsia="Times New Roman" w:hAnsi="Times New Roman" w:cs="Times New Roman"/>
          <w:sz w:val="24"/>
          <w:szCs w:val="24"/>
        </w:rPr>
        <w:t>., 188 Va. 493, 497-98, 50 S.E.2d 268, 271</w:t>
      </w:r>
      <w:r>
        <w:rPr>
          <w:rFonts w:ascii="Times New Roman" w:eastAsia="Times New Roman" w:hAnsi="Times New Roman" w:cs="Times New Roman"/>
          <w:sz w:val="24"/>
          <w:szCs w:val="24"/>
        </w:rPr>
        <w:t xml:space="preserve"> (1948).</w:t>
      </w:r>
    </w:p>
    <w:p w14:paraId="18ACC86D" w14:textId="0A5BDD07" w:rsidR="00883D80" w:rsidRDefault="00267669" w:rsidP="00716606">
      <w:pPr>
        <w:widowControl w:val="0"/>
        <w:suppressAutoHyphen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w:t>
      </w:r>
      <w:proofErr w:type="spellStart"/>
      <w:r w:rsidRPr="00267669">
        <w:rPr>
          <w:rFonts w:ascii="Times New Roman" w:eastAsia="Times New Roman" w:hAnsi="Times New Roman" w:cs="Times New Roman"/>
          <w:i/>
          <w:iCs/>
          <w:sz w:val="24"/>
          <w:szCs w:val="24"/>
        </w:rPr>
        <w:t>Schlimmer</w:t>
      </w:r>
      <w:proofErr w:type="spellEnd"/>
      <w:r w:rsidRPr="00267669">
        <w:rPr>
          <w:rFonts w:ascii="Times New Roman" w:eastAsia="Times New Roman" w:hAnsi="Times New Roman" w:cs="Times New Roman"/>
          <w:i/>
          <w:iCs/>
          <w:sz w:val="24"/>
          <w:szCs w:val="24"/>
        </w:rPr>
        <w:t xml:space="preserve"> v. Poverty Hunt Club</w:t>
      </w:r>
      <w:r>
        <w:rPr>
          <w:rFonts w:ascii="Times New Roman" w:eastAsia="Times New Roman" w:hAnsi="Times New Roman" w:cs="Times New Roman"/>
          <w:sz w:val="24"/>
          <w:szCs w:val="24"/>
        </w:rPr>
        <w:t xml:space="preserve">, 268 Va. 74, 597 S.E.2d 43 (2004), Plaintiff was injured when he was shot by a member of the Hunt Club, </w:t>
      </w:r>
      <w:r w:rsidR="00B517B4">
        <w:rPr>
          <w:rFonts w:ascii="Times New Roman" w:eastAsia="Times New Roman" w:hAnsi="Times New Roman" w:cs="Times New Roman"/>
          <w:sz w:val="24"/>
          <w:szCs w:val="24"/>
        </w:rPr>
        <w:t xml:space="preserve">Cofield, </w:t>
      </w:r>
      <w:r>
        <w:rPr>
          <w:rFonts w:ascii="Times New Roman" w:eastAsia="Times New Roman" w:hAnsi="Times New Roman" w:cs="Times New Roman"/>
          <w:sz w:val="24"/>
          <w:szCs w:val="24"/>
        </w:rPr>
        <w:t xml:space="preserve">who was later charged with </w:t>
      </w:r>
      <w:r w:rsidR="00B517B4">
        <w:rPr>
          <w:rFonts w:ascii="Times New Roman" w:eastAsia="Times New Roman" w:hAnsi="Times New Roman" w:cs="Times New Roman"/>
          <w:sz w:val="24"/>
          <w:szCs w:val="24"/>
        </w:rPr>
        <w:t xml:space="preserve">recklessly handling a firearm in violation of Va. Code § 18.2-56.1(A).  Defendant argued that Cofield’s conviction was not conclusive evidence of negligence in the civil case and that a negligence per se instruction was not warranted.  The trial court agreed and denied the instruction.  The Supreme </w:t>
      </w:r>
      <w:r w:rsidR="00B517B4">
        <w:rPr>
          <w:rFonts w:ascii="Times New Roman" w:eastAsia="Times New Roman" w:hAnsi="Times New Roman" w:cs="Times New Roman"/>
          <w:sz w:val="24"/>
          <w:szCs w:val="24"/>
        </w:rPr>
        <w:lastRenderedPageBreak/>
        <w:t xml:space="preserve">Court reversed, noting that Plaintiff had established that he was in the protected class and that the harm was the type against which the statue was designed to protect against. </w:t>
      </w:r>
      <w:r w:rsidR="00E62388">
        <w:rPr>
          <w:rFonts w:ascii="Times New Roman" w:eastAsia="Times New Roman" w:hAnsi="Times New Roman" w:cs="Times New Roman"/>
          <w:sz w:val="24"/>
          <w:szCs w:val="24"/>
        </w:rPr>
        <w:t>Whether the alleged violation is one of statute versus regulation is not dispositive.</w:t>
      </w:r>
      <w:r w:rsidR="004D6A2B" w:rsidRPr="00F75DED">
        <w:rPr>
          <w:rStyle w:val="FootnoteReference"/>
          <w:rFonts w:eastAsia="Times New Roman" w:cs="Times New Roman"/>
          <w:szCs w:val="24"/>
          <w:vertAlign w:val="superscript"/>
        </w:rPr>
        <w:footnoteReference w:id="17"/>
      </w:r>
      <w:r w:rsidR="00E62388" w:rsidRPr="00F75DED">
        <w:rPr>
          <w:rFonts w:ascii="Times New Roman" w:eastAsia="Times New Roman" w:hAnsi="Times New Roman" w:cs="Times New Roman"/>
          <w:sz w:val="24"/>
          <w:szCs w:val="24"/>
          <w:vertAlign w:val="superscript"/>
        </w:rPr>
        <w:t xml:space="preserve"> </w:t>
      </w:r>
    </w:p>
    <w:p w14:paraId="10CC0E97" w14:textId="3DBE0076" w:rsidR="00EC2358" w:rsidRDefault="0017382C" w:rsidP="00EC2358">
      <w:pPr>
        <w:widowControl w:val="0"/>
        <w:suppressAutoHyphens/>
        <w:autoSpaceDE w:val="0"/>
        <w:autoSpaceDN w:val="0"/>
        <w:adjustRightInd w:val="0"/>
        <w:spacing w:after="0" w:line="480" w:lineRule="auto"/>
        <w:jc w:val="both"/>
        <w:rPr>
          <w:rFonts w:ascii="Times New Roman" w:hAnsi="Times New Roman"/>
          <w:sz w:val="24"/>
          <w:szCs w:val="24"/>
        </w:rPr>
      </w:pPr>
      <w:r>
        <w:rPr>
          <w:rFonts w:ascii="Times New Roman" w:eastAsia="Times New Roman" w:hAnsi="Times New Roman" w:cs="Times New Roman"/>
          <w:sz w:val="24"/>
          <w:szCs w:val="24"/>
        </w:rPr>
        <w:tab/>
      </w:r>
      <w:r w:rsidR="00803482">
        <w:rPr>
          <w:rFonts w:ascii="Times New Roman" w:eastAsia="Times New Roman" w:hAnsi="Times New Roman" w:cs="Times New Roman"/>
          <w:sz w:val="24"/>
          <w:szCs w:val="24"/>
        </w:rPr>
        <w:t xml:space="preserve">Defendant’s reliance of </w:t>
      </w:r>
      <w:r w:rsidR="00803482" w:rsidRPr="00803482">
        <w:rPr>
          <w:rFonts w:ascii="Times New Roman" w:eastAsia="Times New Roman" w:hAnsi="Times New Roman" w:cs="Times New Roman"/>
          <w:i/>
          <w:iCs/>
          <w:sz w:val="24"/>
          <w:szCs w:val="24"/>
        </w:rPr>
        <w:t>Cherrie v. Va. Health Servs</w:t>
      </w:r>
      <w:r w:rsidR="00803482">
        <w:rPr>
          <w:rFonts w:ascii="Times New Roman" w:eastAsia="Times New Roman" w:hAnsi="Times New Roman" w:cs="Times New Roman"/>
          <w:sz w:val="24"/>
          <w:szCs w:val="24"/>
        </w:rPr>
        <w:t>,</w:t>
      </w:r>
      <w:r w:rsidR="00593268">
        <w:rPr>
          <w:rFonts w:ascii="Times New Roman" w:eastAsia="Times New Roman" w:hAnsi="Times New Roman" w:cs="Times New Roman"/>
          <w:sz w:val="24"/>
          <w:szCs w:val="24"/>
        </w:rPr>
        <w:t xml:space="preserve"> 292 Va. 309 (2016)</w:t>
      </w:r>
      <w:r w:rsidR="00F75DED">
        <w:rPr>
          <w:rFonts w:ascii="Times New Roman" w:eastAsia="Times New Roman" w:hAnsi="Times New Roman" w:cs="Times New Roman"/>
          <w:sz w:val="24"/>
          <w:szCs w:val="24"/>
        </w:rPr>
        <w:t>,</w:t>
      </w:r>
      <w:r w:rsidR="00803482">
        <w:rPr>
          <w:rFonts w:ascii="Times New Roman" w:eastAsia="Times New Roman" w:hAnsi="Times New Roman" w:cs="Times New Roman"/>
          <w:sz w:val="24"/>
          <w:szCs w:val="24"/>
        </w:rPr>
        <w:t xml:space="preserve"> is unavailing as the Court simply held that the governing statute does not imply a private right of action for the enforcement of a regulation to compel the production of the facilities written policies and procedures. </w:t>
      </w:r>
      <w:r w:rsidR="000C5E2A">
        <w:rPr>
          <w:rFonts w:ascii="Times New Roman" w:eastAsia="Times New Roman" w:hAnsi="Times New Roman" w:cs="Times New Roman"/>
          <w:sz w:val="24"/>
          <w:szCs w:val="24"/>
        </w:rPr>
        <w:t xml:space="preserve">  Here, Plaintiff has not pursued a private cause of action based on the regulations.  She properly asserts that such regulations set standards that a reasonably prudent assisted living facility must follow.  </w:t>
      </w:r>
      <w:r w:rsidR="00EC2358">
        <w:rPr>
          <w:rFonts w:ascii="Times New Roman" w:eastAsia="Times New Roman" w:hAnsi="Times New Roman" w:cs="Times New Roman"/>
          <w:sz w:val="24"/>
          <w:szCs w:val="24"/>
        </w:rPr>
        <w:t xml:space="preserve">See, </w:t>
      </w:r>
      <w:r w:rsidR="009B4FBE" w:rsidRPr="003E6D54">
        <w:rPr>
          <w:rFonts w:ascii="Times New Roman" w:hAnsi="Times New Roman"/>
          <w:i/>
          <w:iCs/>
          <w:sz w:val="24"/>
          <w:szCs w:val="24"/>
        </w:rPr>
        <w:t>Williamson v. Old Brogue Inc</w:t>
      </w:r>
      <w:r w:rsidR="009B4FBE">
        <w:rPr>
          <w:rFonts w:ascii="Times New Roman" w:hAnsi="Times New Roman"/>
          <w:sz w:val="24"/>
          <w:szCs w:val="24"/>
        </w:rPr>
        <w:t xml:space="preserve">, 232 Va. 350, </w:t>
      </w:r>
      <w:proofErr w:type="gramStart"/>
      <w:r w:rsidR="009B4FBE">
        <w:rPr>
          <w:rFonts w:ascii="Times New Roman" w:hAnsi="Times New Roman"/>
          <w:sz w:val="24"/>
          <w:szCs w:val="24"/>
        </w:rPr>
        <w:t>355,  350</w:t>
      </w:r>
      <w:proofErr w:type="gramEnd"/>
      <w:r w:rsidR="009B4FBE">
        <w:rPr>
          <w:rFonts w:ascii="Times New Roman" w:hAnsi="Times New Roman"/>
          <w:sz w:val="24"/>
          <w:szCs w:val="24"/>
        </w:rPr>
        <w:t xml:space="preserve"> S.E.621 (1986</w:t>
      </w:r>
      <w:r w:rsidR="00EC2358">
        <w:rPr>
          <w:rFonts w:ascii="Times New Roman" w:hAnsi="Times New Roman"/>
          <w:sz w:val="24"/>
          <w:szCs w:val="24"/>
        </w:rPr>
        <w:t>)(Explaining that the doctrine of negligence per se does not create a cause of action where not existed, but may define the standard where there is an underlying common law duty).</w:t>
      </w:r>
      <w:r w:rsidR="00EC2358" w:rsidRPr="00EC2358">
        <w:rPr>
          <w:rFonts w:ascii="Times New Roman" w:hAnsi="Times New Roman"/>
          <w:sz w:val="24"/>
          <w:szCs w:val="24"/>
          <w:vertAlign w:val="superscript"/>
        </w:rPr>
        <w:t xml:space="preserve"> </w:t>
      </w:r>
    </w:p>
    <w:p w14:paraId="4029CD15" w14:textId="13FB5338" w:rsidR="00BE4BB0" w:rsidRPr="00BE4BB0" w:rsidRDefault="00E67871" w:rsidP="00BE4BB0">
      <w:pPr>
        <w:pStyle w:val="ListParagraph"/>
        <w:numPr>
          <w:ilvl w:val="0"/>
          <w:numId w:val="29"/>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Plaintiff’s Contract Claim Can be Pursued Concurrently With her Tort Claim</w:t>
      </w:r>
    </w:p>
    <w:p w14:paraId="06CA32C7" w14:textId="45BD6A56" w:rsidR="00BE4BB0" w:rsidRDefault="00BE4BB0" w:rsidP="00BE4BB0">
      <w:pPr>
        <w:spacing w:after="0" w:line="240" w:lineRule="auto"/>
        <w:rPr>
          <w:rFonts w:ascii="Times New Roman" w:hAnsi="Times New Roman" w:cs="Times New Roman"/>
          <w:sz w:val="24"/>
          <w:szCs w:val="24"/>
        </w:rPr>
      </w:pPr>
    </w:p>
    <w:p w14:paraId="50D8F9F9" w14:textId="3E39EE42" w:rsidR="00745171" w:rsidRDefault="00BE4BB0" w:rsidP="00BE4BB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Defendants ignore Va. Code </w:t>
      </w:r>
      <w:r w:rsidR="008D4792">
        <w:rPr>
          <w:rFonts w:ascii="Times New Roman" w:hAnsi="Times New Roman" w:cs="Times New Roman"/>
          <w:sz w:val="24"/>
          <w:szCs w:val="24"/>
        </w:rPr>
        <w:t>§</w:t>
      </w:r>
      <w:r>
        <w:rPr>
          <w:rFonts w:ascii="Times New Roman" w:hAnsi="Times New Roman" w:cs="Times New Roman"/>
          <w:sz w:val="24"/>
          <w:szCs w:val="24"/>
        </w:rPr>
        <w:t>8.01-272</w:t>
      </w:r>
      <w:r w:rsidR="00745171">
        <w:rPr>
          <w:rFonts w:ascii="Times New Roman" w:hAnsi="Times New Roman" w:cs="Times New Roman"/>
          <w:sz w:val="24"/>
          <w:szCs w:val="24"/>
        </w:rPr>
        <w:t xml:space="preserve">, which allows a party to plead multiple claims in the same case.  This statute, consistent with </w:t>
      </w:r>
      <w:r w:rsidR="00F75DED">
        <w:rPr>
          <w:rFonts w:ascii="Times New Roman" w:hAnsi="Times New Roman" w:cs="Times New Roman"/>
          <w:sz w:val="24"/>
          <w:szCs w:val="24"/>
        </w:rPr>
        <w:t>well-established</w:t>
      </w:r>
      <w:r w:rsidR="00745171">
        <w:rPr>
          <w:rFonts w:ascii="Times New Roman" w:hAnsi="Times New Roman" w:cs="Times New Roman"/>
          <w:sz w:val="24"/>
          <w:szCs w:val="24"/>
        </w:rPr>
        <w:t xml:space="preserve"> case law, states that </w:t>
      </w:r>
      <w:r w:rsidR="00745171" w:rsidRPr="00E67871">
        <w:rPr>
          <w:rFonts w:ascii="Times New Roman" w:hAnsi="Times New Roman" w:cs="Times New Roman"/>
          <w:b/>
          <w:bCs/>
          <w:sz w:val="24"/>
          <w:szCs w:val="24"/>
        </w:rPr>
        <w:t>“[a] party may join a claim in tort</w:t>
      </w:r>
      <w:r w:rsidR="00745171">
        <w:rPr>
          <w:rFonts w:ascii="Times New Roman" w:hAnsi="Times New Roman" w:cs="Times New Roman"/>
          <w:sz w:val="24"/>
          <w:szCs w:val="24"/>
        </w:rPr>
        <w:t xml:space="preserve"> with one in contract provided that all claims so joined, arise out of the same transaction.” </w:t>
      </w:r>
      <w:r w:rsidR="00E67871">
        <w:rPr>
          <w:rFonts w:ascii="Times New Roman" w:hAnsi="Times New Roman" w:cs="Times New Roman"/>
          <w:sz w:val="24"/>
          <w:szCs w:val="24"/>
        </w:rPr>
        <w:t xml:space="preserve">(Emphasis added). </w:t>
      </w:r>
      <w:r w:rsidR="00745171">
        <w:rPr>
          <w:rFonts w:ascii="Times New Roman" w:hAnsi="Times New Roman" w:cs="Times New Roman"/>
          <w:sz w:val="24"/>
          <w:szCs w:val="24"/>
        </w:rPr>
        <w:t xml:space="preserve"> If the General Assembly had intended to exempt malpractice claims under this statute, it would have </w:t>
      </w:r>
      <w:r w:rsidR="008D4792">
        <w:rPr>
          <w:rFonts w:ascii="Times New Roman" w:hAnsi="Times New Roman" w:cs="Times New Roman"/>
          <w:sz w:val="24"/>
          <w:szCs w:val="24"/>
        </w:rPr>
        <w:t>done so</w:t>
      </w:r>
      <w:r w:rsidR="00745171">
        <w:rPr>
          <w:rFonts w:ascii="Times New Roman" w:hAnsi="Times New Roman" w:cs="Times New Roman"/>
          <w:sz w:val="24"/>
          <w:szCs w:val="24"/>
        </w:rPr>
        <w:t>.</w:t>
      </w:r>
    </w:p>
    <w:p w14:paraId="11032063" w14:textId="5DC88006" w:rsidR="00A240A1" w:rsidRDefault="00745171" w:rsidP="00BE4BB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As the evidence at trial will show, there were multiple violations of contract (as it relates issues involving the failure to respond to call bells or provide for Plaintiff’s basic ADL needs) that occurred before </w:t>
      </w:r>
      <w:r w:rsidR="008D4792">
        <w:rPr>
          <w:rFonts w:ascii="Times New Roman" w:hAnsi="Times New Roman" w:cs="Times New Roman"/>
          <w:sz w:val="24"/>
          <w:szCs w:val="24"/>
        </w:rPr>
        <w:t>Plaintiff</w:t>
      </w:r>
      <w:r>
        <w:rPr>
          <w:rFonts w:ascii="Times New Roman" w:hAnsi="Times New Roman" w:cs="Times New Roman"/>
          <w:sz w:val="24"/>
          <w:szCs w:val="24"/>
        </w:rPr>
        <w:t xml:space="preserve"> sustained the shower injury on December 21, 2020.   Failures to </w:t>
      </w:r>
      <w:r>
        <w:rPr>
          <w:rFonts w:ascii="Times New Roman" w:hAnsi="Times New Roman" w:cs="Times New Roman"/>
          <w:sz w:val="24"/>
          <w:szCs w:val="24"/>
        </w:rPr>
        <w:lastRenderedPageBreak/>
        <w:t>respond to her call bell, providing toileting and bathing services are some of the failures that resulted in a breach of contract and the family having to remove Sara to keep her safe.  While not all of these failures necessary caused injury</w:t>
      </w:r>
      <w:r w:rsidR="00A240A1">
        <w:rPr>
          <w:rFonts w:ascii="Times New Roman" w:hAnsi="Times New Roman" w:cs="Times New Roman"/>
          <w:sz w:val="24"/>
          <w:szCs w:val="24"/>
        </w:rPr>
        <w:t xml:space="preserve"> to Plaintiff, they still constitute a breach of their contractual obligations that caused financial harm to the Plaintiff</w:t>
      </w:r>
      <w:r w:rsidR="009B4457">
        <w:rPr>
          <w:rFonts w:ascii="Times New Roman" w:hAnsi="Times New Roman" w:cs="Times New Roman"/>
          <w:sz w:val="24"/>
          <w:szCs w:val="24"/>
        </w:rPr>
        <w:t xml:space="preserve"> and explain the context of why </w:t>
      </w:r>
      <w:r w:rsidR="00E67871">
        <w:rPr>
          <w:rFonts w:ascii="Times New Roman" w:hAnsi="Times New Roman" w:cs="Times New Roman"/>
          <w:sz w:val="24"/>
          <w:szCs w:val="24"/>
        </w:rPr>
        <w:t xml:space="preserve">the demented Ms. McCorkle </w:t>
      </w:r>
      <w:r w:rsidR="009B4457">
        <w:rPr>
          <w:rFonts w:ascii="Times New Roman" w:hAnsi="Times New Roman" w:cs="Times New Roman"/>
          <w:sz w:val="24"/>
          <w:szCs w:val="24"/>
        </w:rPr>
        <w:t>was removed from the facility</w:t>
      </w:r>
      <w:r w:rsidR="00E67871">
        <w:rPr>
          <w:rFonts w:ascii="Times New Roman" w:hAnsi="Times New Roman" w:cs="Times New Roman"/>
          <w:sz w:val="24"/>
          <w:szCs w:val="24"/>
        </w:rPr>
        <w:t xml:space="preserve"> by her family</w:t>
      </w:r>
      <w:r w:rsidR="009B4457">
        <w:rPr>
          <w:rFonts w:ascii="Times New Roman" w:hAnsi="Times New Roman" w:cs="Times New Roman"/>
          <w:sz w:val="24"/>
          <w:szCs w:val="24"/>
        </w:rPr>
        <w:t xml:space="preserve">. </w:t>
      </w:r>
    </w:p>
    <w:p w14:paraId="17B89AD7" w14:textId="4F7641C0" w:rsidR="00D24851" w:rsidRDefault="00A240A1" w:rsidP="005F39E8">
      <w:pPr>
        <w:spacing w:after="0" w:line="480" w:lineRule="auto"/>
        <w:ind w:left="-90" w:right="-270"/>
        <w:rPr>
          <w:rFonts w:ascii="Times New Roman" w:hAnsi="Times New Roman" w:cs="Times New Roman"/>
          <w:sz w:val="24"/>
          <w:szCs w:val="24"/>
        </w:rPr>
      </w:pPr>
      <w:r>
        <w:rPr>
          <w:rFonts w:ascii="Times New Roman" w:hAnsi="Times New Roman" w:cs="Times New Roman"/>
          <w:sz w:val="24"/>
          <w:szCs w:val="24"/>
        </w:rPr>
        <w:tab/>
      </w:r>
      <w:r w:rsidR="00F75DED">
        <w:rPr>
          <w:rFonts w:ascii="Times New Roman" w:hAnsi="Times New Roman" w:cs="Times New Roman"/>
          <w:sz w:val="24"/>
          <w:szCs w:val="24"/>
        </w:rPr>
        <w:tab/>
      </w:r>
      <w:r w:rsidRPr="00C02F68">
        <w:rPr>
          <w:rFonts w:ascii="Times New Roman" w:hAnsi="Times New Roman" w:cs="Times New Roman"/>
          <w:b/>
          <w:bCs/>
          <w:sz w:val="24"/>
          <w:szCs w:val="24"/>
        </w:rPr>
        <w:t>Defendant</w:t>
      </w:r>
      <w:r w:rsidR="009B4457" w:rsidRPr="00C02F68">
        <w:rPr>
          <w:rFonts w:ascii="Times New Roman" w:hAnsi="Times New Roman" w:cs="Times New Roman"/>
          <w:b/>
          <w:bCs/>
          <w:sz w:val="24"/>
          <w:szCs w:val="24"/>
        </w:rPr>
        <w:t>s</w:t>
      </w:r>
      <w:r w:rsidRPr="00C02F68">
        <w:rPr>
          <w:rFonts w:ascii="Times New Roman" w:hAnsi="Times New Roman" w:cs="Times New Roman"/>
          <w:b/>
          <w:bCs/>
          <w:sz w:val="24"/>
          <w:szCs w:val="24"/>
        </w:rPr>
        <w:t xml:space="preserve"> fail to alert the Court to the </w:t>
      </w:r>
      <w:r w:rsidR="009B4457" w:rsidRPr="00C02F68">
        <w:rPr>
          <w:rFonts w:ascii="Times New Roman" w:hAnsi="Times New Roman" w:cs="Times New Roman"/>
          <w:b/>
          <w:bCs/>
          <w:sz w:val="24"/>
          <w:szCs w:val="24"/>
        </w:rPr>
        <w:t xml:space="preserve">binding </w:t>
      </w:r>
      <w:r w:rsidRPr="00C02F68">
        <w:rPr>
          <w:rFonts w:ascii="Times New Roman" w:hAnsi="Times New Roman" w:cs="Times New Roman"/>
          <w:b/>
          <w:bCs/>
          <w:sz w:val="24"/>
          <w:szCs w:val="24"/>
        </w:rPr>
        <w:t xml:space="preserve">precedent of </w:t>
      </w:r>
      <w:r w:rsidRPr="00C02F68">
        <w:rPr>
          <w:rFonts w:ascii="Times New Roman" w:hAnsi="Times New Roman" w:cs="Times New Roman"/>
          <w:b/>
          <w:bCs/>
          <w:i/>
          <w:iCs/>
          <w:sz w:val="24"/>
          <w:szCs w:val="24"/>
        </w:rPr>
        <w:t>Glisson v. Loxley</w:t>
      </w:r>
      <w:r w:rsidRPr="00C02F68">
        <w:rPr>
          <w:rFonts w:ascii="Times New Roman" w:hAnsi="Times New Roman" w:cs="Times New Roman"/>
          <w:b/>
          <w:bCs/>
          <w:sz w:val="24"/>
          <w:szCs w:val="24"/>
        </w:rPr>
        <w:t>, 366 S.E.2d</w:t>
      </w:r>
      <w:r>
        <w:rPr>
          <w:rFonts w:ascii="Times New Roman" w:hAnsi="Times New Roman" w:cs="Times New Roman"/>
          <w:sz w:val="24"/>
          <w:szCs w:val="24"/>
        </w:rPr>
        <w:t xml:space="preserve"> 68 (1988), where the Supreme Court considered whether Plaintiff could state a cause of action for breach of contract based on Defendant’s failure to properly perform a</w:t>
      </w:r>
      <w:r w:rsidR="008D4792">
        <w:rPr>
          <w:rFonts w:ascii="Times New Roman" w:hAnsi="Times New Roman" w:cs="Times New Roman"/>
          <w:sz w:val="24"/>
          <w:szCs w:val="24"/>
        </w:rPr>
        <w:t xml:space="preserve"> </w:t>
      </w:r>
      <w:r w:rsidR="00E67871">
        <w:rPr>
          <w:rFonts w:ascii="Times New Roman" w:hAnsi="Times New Roman" w:cs="Times New Roman"/>
          <w:sz w:val="24"/>
          <w:szCs w:val="24"/>
        </w:rPr>
        <w:t>diagnostic arthroscopic</w:t>
      </w:r>
      <w:r>
        <w:rPr>
          <w:rFonts w:ascii="Times New Roman" w:hAnsi="Times New Roman" w:cs="Times New Roman"/>
          <w:sz w:val="24"/>
          <w:szCs w:val="24"/>
        </w:rPr>
        <w:t xml:space="preserve"> procedure o</w:t>
      </w:r>
      <w:r w:rsidR="00AC4FEB">
        <w:rPr>
          <w:rFonts w:ascii="Times New Roman" w:hAnsi="Times New Roman" w:cs="Times New Roman"/>
          <w:sz w:val="24"/>
          <w:szCs w:val="24"/>
        </w:rPr>
        <w:t>f</w:t>
      </w:r>
      <w:r>
        <w:rPr>
          <w:rFonts w:ascii="Times New Roman" w:hAnsi="Times New Roman" w:cs="Times New Roman"/>
          <w:sz w:val="24"/>
          <w:szCs w:val="24"/>
        </w:rPr>
        <w:t xml:space="preserve"> her right knee.  Having failed to comply with the notice require</w:t>
      </w:r>
      <w:r w:rsidR="005F39E8">
        <w:rPr>
          <w:rFonts w:ascii="Times New Roman" w:hAnsi="Times New Roman" w:cs="Times New Roman"/>
          <w:sz w:val="24"/>
          <w:szCs w:val="24"/>
        </w:rPr>
        <w:t>ments</w:t>
      </w:r>
      <w:r>
        <w:rPr>
          <w:rFonts w:ascii="Times New Roman" w:hAnsi="Times New Roman" w:cs="Times New Roman"/>
          <w:sz w:val="24"/>
          <w:szCs w:val="24"/>
        </w:rPr>
        <w:t xml:space="preserve"> of the Medical Malpractice Act, Plaintiff alleged that she had entered into an oral contract with the physician</w:t>
      </w:r>
      <w:r w:rsidR="00D24851">
        <w:rPr>
          <w:rFonts w:ascii="Times New Roman" w:hAnsi="Times New Roman" w:cs="Times New Roman"/>
          <w:sz w:val="24"/>
          <w:szCs w:val="24"/>
        </w:rPr>
        <w:t xml:space="preserve">, which included his agreement not to perform </w:t>
      </w:r>
      <w:r w:rsidR="008D4792">
        <w:rPr>
          <w:rFonts w:ascii="Times New Roman" w:hAnsi="Times New Roman" w:cs="Times New Roman"/>
          <w:sz w:val="24"/>
          <w:szCs w:val="24"/>
        </w:rPr>
        <w:t>actual</w:t>
      </w:r>
      <w:r w:rsidR="00D24851">
        <w:rPr>
          <w:rFonts w:ascii="Times New Roman" w:hAnsi="Times New Roman" w:cs="Times New Roman"/>
          <w:sz w:val="24"/>
          <w:szCs w:val="24"/>
        </w:rPr>
        <w:t xml:space="preserve"> surgery</w:t>
      </w:r>
      <w:r w:rsidR="008D4792">
        <w:rPr>
          <w:rFonts w:ascii="Times New Roman" w:hAnsi="Times New Roman" w:cs="Times New Roman"/>
          <w:sz w:val="24"/>
          <w:szCs w:val="24"/>
        </w:rPr>
        <w:t xml:space="preserve">, but simply </w:t>
      </w:r>
      <w:r w:rsidR="00AC4FEB">
        <w:rPr>
          <w:rFonts w:ascii="Times New Roman" w:hAnsi="Times New Roman" w:cs="Times New Roman"/>
          <w:sz w:val="24"/>
          <w:szCs w:val="24"/>
        </w:rPr>
        <w:t>a</w:t>
      </w:r>
      <w:r w:rsidR="008D4792">
        <w:rPr>
          <w:rFonts w:ascii="Times New Roman" w:hAnsi="Times New Roman" w:cs="Times New Roman"/>
          <w:sz w:val="24"/>
          <w:szCs w:val="24"/>
        </w:rPr>
        <w:t xml:space="preserve"> diagnostic procedure</w:t>
      </w:r>
      <w:r w:rsidR="00D24851">
        <w:rPr>
          <w:rFonts w:ascii="Times New Roman" w:hAnsi="Times New Roman" w:cs="Times New Roman"/>
          <w:sz w:val="24"/>
          <w:szCs w:val="24"/>
        </w:rPr>
        <w:t xml:space="preserve">. </w:t>
      </w:r>
      <w:r w:rsidR="005F39E8">
        <w:rPr>
          <w:rFonts w:ascii="Times New Roman" w:hAnsi="Times New Roman" w:cs="Times New Roman"/>
          <w:sz w:val="24"/>
          <w:szCs w:val="24"/>
        </w:rPr>
        <w:t xml:space="preserve">In rejecting the defense argument that she could only pursue a medical malpractice claim, the Supreme Court explained: </w:t>
      </w:r>
      <w:r w:rsidR="00D24851">
        <w:rPr>
          <w:rFonts w:ascii="Times New Roman" w:hAnsi="Times New Roman" w:cs="Times New Roman"/>
          <w:sz w:val="24"/>
          <w:szCs w:val="24"/>
        </w:rPr>
        <w:t xml:space="preserve"> </w:t>
      </w:r>
    </w:p>
    <w:p w14:paraId="307897F7" w14:textId="645CE99F" w:rsidR="00D24851" w:rsidRPr="00DD7174" w:rsidRDefault="00D24851" w:rsidP="00D24851">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D7174">
        <w:rPr>
          <w:rFonts w:ascii="Times New Roman" w:hAnsi="Times New Roman" w:cs="Times New Roman"/>
          <w:b/>
          <w:bCs/>
          <w:sz w:val="24"/>
          <w:szCs w:val="24"/>
        </w:rPr>
        <w:t>We are not persuaded by defendant’s effort to have us hold, in</w:t>
      </w:r>
    </w:p>
    <w:p w14:paraId="5B7B5931" w14:textId="3A371081" w:rsidR="00D24851" w:rsidRPr="00DD7174" w:rsidRDefault="00D24851" w:rsidP="00D24851">
      <w:pPr>
        <w:spacing w:after="0" w:line="240" w:lineRule="auto"/>
        <w:rPr>
          <w:rFonts w:ascii="Times New Roman" w:hAnsi="Times New Roman" w:cs="Times New Roman"/>
          <w:b/>
          <w:bCs/>
          <w:sz w:val="24"/>
          <w:szCs w:val="24"/>
        </w:rPr>
      </w:pPr>
      <w:r w:rsidRPr="00DD7174">
        <w:rPr>
          <w:rFonts w:ascii="Times New Roman" w:hAnsi="Times New Roman" w:cs="Times New Roman"/>
          <w:b/>
          <w:bCs/>
          <w:sz w:val="24"/>
          <w:szCs w:val="24"/>
        </w:rPr>
        <w:tab/>
      </w:r>
      <w:r w:rsidRPr="00DD7174">
        <w:rPr>
          <w:rFonts w:ascii="Times New Roman" w:hAnsi="Times New Roman" w:cs="Times New Roman"/>
          <w:b/>
          <w:bCs/>
          <w:sz w:val="24"/>
          <w:szCs w:val="24"/>
        </w:rPr>
        <w:tab/>
        <w:t xml:space="preserve">effect, that because the claim arises in the context of a </w:t>
      </w:r>
      <w:proofErr w:type="gramStart"/>
      <w:r w:rsidRPr="00DD7174">
        <w:rPr>
          <w:rFonts w:ascii="Times New Roman" w:hAnsi="Times New Roman" w:cs="Times New Roman"/>
          <w:b/>
          <w:bCs/>
          <w:sz w:val="24"/>
          <w:szCs w:val="24"/>
        </w:rPr>
        <w:t>physician</w:t>
      </w:r>
      <w:proofErr w:type="gramEnd"/>
    </w:p>
    <w:p w14:paraId="42524E9E" w14:textId="77777777" w:rsidR="00D24851" w:rsidRPr="00DD7174" w:rsidRDefault="00D24851" w:rsidP="00D24851">
      <w:pPr>
        <w:spacing w:after="0" w:line="240" w:lineRule="auto"/>
        <w:rPr>
          <w:rFonts w:ascii="Times New Roman" w:hAnsi="Times New Roman" w:cs="Times New Roman"/>
          <w:b/>
          <w:bCs/>
          <w:sz w:val="24"/>
          <w:szCs w:val="24"/>
        </w:rPr>
      </w:pPr>
      <w:r w:rsidRPr="00DD7174">
        <w:rPr>
          <w:rFonts w:ascii="Times New Roman" w:hAnsi="Times New Roman" w:cs="Times New Roman"/>
          <w:b/>
          <w:bCs/>
          <w:sz w:val="24"/>
          <w:szCs w:val="24"/>
        </w:rPr>
        <w:tab/>
      </w:r>
      <w:r w:rsidRPr="00DD7174">
        <w:rPr>
          <w:rFonts w:ascii="Times New Roman" w:hAnsi="Times New Roman" w:cs="Times New Roman"/>
          <w:b/>
          <w:bCs/>
          <w:sz w:val="24"/>
          <w:szCs w:val="24"/>
        </w:rPr>
        <w:tab/>
        <w:t xml:space="preserve">patient relationship, the action is actually one sounding in tort, is </w:t>
      </w:r>
      <w:proofErr w:type="gramStart"/>
      <w:r w:rsidRPr="00DD7174">
        <w:rPr>
          <w:rFonts w:ascii="Times New Roman" w:hAnsi="Times New Roman" w:cs="Times New Roman"/>
          <w:b/>
          <w:bCs/>
          <w:sz w:val="24"/>
          <w:szCs w:val="24"/>
        </w:rPr>
        <w:t>covered</w:t>
      </w:r>
      <w:proofErr w:type="gramEnd"/>
      <w:r w:rsidRPr="00DD7174">
        <w:rPr>
          <w:rFonts w:ascii="Times New Roman" w:hAnsi="Times New Roman" w:cs="Times New Roman"/>
          <w:b/>
          <w:bCs/>
          <w:sz w:val="24"/>
          <w:szCs w:val="24"/>
        </w:rPr>
        <w:t xml:space="preserve"> </w:t>
      </w:r>
    </w:p>
    <w:p w14:paraId="6D80E7EC" w14:textId="1154A1A4" w:rsidR="00D24851" w:rsidRPr="00DD7174" w:rsidRDefault="00D24851" w:rsidP="00D24851">
      <w:pPr>
        <w:spacing w:after="0" w:line="240" w:lineRule="auto"/>
        <w:ind w:left="720" w:firstLine="720"/>
        <w:rPr>
          <w:rFonts w:ascii="Times New Roman" w:hAnsi="Times New Roman" w:cs="Times New Roman"/>
          <w:b/>
          <w:bCs/>
          <w:sz w:val="24"/>
          <w:szCs w:val="24"/>
        </w:rPr>
      </w:pPr>
      <w:r w:rsidRPr="00DD7174">
        <w:rPr>
          <w:rFonts w:ascii="Times New Roman" w:hAnsi="Times New Roman" w:cs="Times New Roman"/>
          <w:b/>
          <w:bCs/>
          <w:sz w:val="24"/>
          <w:szCs w:val="24"/>
        </w:rPr>
        <w:t>by the malpractice statutes and is subject to the notice provision. . .</w:t>
      </w:r>
    </w:p>
    <w:p w14:paraId="76C9C480" w14:textId="35845DFC" w:rsidR="00D24851" w:rsidRPr="00DD7174" w:rsidRDefault="00D24851" w:rsidP="00D24851">
      <w:pPr>
        <w:spacing w:after="0" w:line="240" w:lineRule="auto"/>
        <w:ind w:left="720" w:firstLine="720"/>
        <w:rPr>
          <w:rFonts w:ascii="Times New Roman" w:hAnsi="Times New Roman" w:cs="Times New Roman"/>
          <w:b/>
          <w:bCs/>
          <w:sz w:val="24"/>
          <w:szCs w:val="24"/>
        </w:rPr>
      </w:pPr>
    </w:p>
    <w:p w14:paraId="32164D36" w14:textId="24D435C1" w:rsidR="00D24851" w:rsidRDefault="00D24851" w:rsidP="00D2485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And the mere fact that plaintiff has sought recovery for pain and</w:t>
      </w:r>
    </w:p>
    <w:p w14:paraId="7C1EECCD" w14:textId="28AD5C51" w:rsidR="00D24851" w:rsidRDefault="00AC4FEB" w:rsidP="00D2485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w:t>
      </w:r>
      <w:r w:rsidR="00D24851">
        <w:rPr>
          <w:rFonts w:ascii="Times New Roman" w:hAnsi="Times New Roman" w:cs="Times New Roman"/>
          <w:sz w:val="24"/>
          <w:szCs w:val="24"/>
        </w:rPr>
        <w:t>uffering does not, standing alone, convert this contract claim into an</w:t>
      </w:r>
    </w:p>
    <w:p w14:paraId="3B0B4EB2" w14:textId="2CCF85DB" w:rsidR="00D24851" w:rsidRDefault="00D24851" w:rsidP="00D2485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action in tort.</w:t>
      </w:r>
    </w:p>
    <w:p w14:paraId="304EF0B6" w14:textId="5F753AE6" w:rsidR="00DD7174" w:rsidRDefault="00DD7174" w:rsidP="00DD7174">
      <w:pPr>
        <w:spacing w:after="0" w:line="240" w:lineRule="auto"/>
        <w:rPr>
          <w:rFonts w:ascii="Times New Roman" w:hAnsi="Times New Roman" w:cs="Times New Roman"/>
          <w:sz w:val="24"/>
          <w:szCs w:val="24"/>
        </w:rPr>
      </w:pPr>
    </w:p>
    <w:p w14:paraId="2F618005" w14:textId="3AD41291" w:rsidR="00DD7174" w:rsidRDefault="00DD7174" w:rsidP="00DD7174">
      <w:pPr>
        <w:spacing w:after="0" w:line="240" w:lineRule="auto"/>
        <w:rPr>
          <w:rFonts w:ascii="Times New Roman" w:hAnsi="Times New Roman" w:cs="Times New Roman"/>
          <w:b/>
          <w:bCs/>
          <w:sz w:val="24"/>
          <w:szCs w:val="24"/>
        </w:rPr>
      </w:pPr>
      <w:r w:rsidRPr="00DD7174">
        <w:rPr>
          <w:rFonts w:ascii="Times New Roman" w:hAnsi="Times New Roman" w:cs="Times New Roman"/>
          <w:b/>
          <w:bCs/>
          <w:sz w:val="24"/>
          <w:szCs w:val="24"/>
        </w:rPr>
        <w:t>Keep in mind that under Alcoy, failures in staffing are not even considered traditional malpractice</w:t>
      </w:r>
    </w:p>
    <w:p w14:paraId="74D91E70" w14:textId="2B527CF0" w:rsidR="00DD7174" w:rsidRPr="00DD7174" w:rsidRDefault="00DD7174" w:rsidP="00DD7174">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lastRenderedPageBreak/>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64CD80D3" w14:textId="77777777" w:rsidR="00DD7174" w:rsidRDefault="00DD7174" w:rsidP="00DD7174">
      <w:pPr>
        <w:spacing w:after="0" w:line="240" w:lineRule="auto"/>
        <w:rPr>
          <w:rFonts w:ascii="Times New Roman" w:hAnsi="Times New Roman" w:cs="Times New Roman"/>
          <w:sz w:val="24"/>
          <w:szCs w:val="24"/>
        </w:rPr>
      </w:pPr>
    </w:p>
    <w:p w14:paraId="402862E0" w14:textId="68660609" w:rsidR="00D24851" w:rsidRDefault="00D24851" w:rsidP="00D24851">
      <w:pPr>
        <w:spacing w:after="0" w:line="240" w:lineRule="auto"/>
        <w:rPr>
          <w:rFonts w:ascii="Times New Roman" w:hAnsi="Times New Roman" w:cs="Times New Roman"/>
          <w:sz w:val="24"/>
          <w:szCs w:val="24"/>
        </w:rPr>
      </w:pPr>
    </w:p>
    <w:p w14:paraId="4FF93F1C" w14:textId="77777777" w:rsidR="00F75DED" w:rsidRDefault="00D24851" w:rsidP="004D6A2B">
      <w:pPr>
        <w:spacing w:after="0" w:line="480" w:lineRule="auto"/>
        <w:rPr>
          <w:rFonts w:ascii="Times New Roman" w:hAnsi="Times New Roman" w:cs="Times New Roman"/>
          <w:sz w:val="24"/>
          <w:szCs w:val="24"/>
        </w:rPr>
      </w:pPr>
      <w:r w:rsidRPr="008D4792">
        <w:rPr>
          <w:rFonts w:ascii="Times New Roman" w:hAnsi="Times New Roman" w:cs="Times New Roman"/>
          <w:i/>
          <w:iCs/>
          <w:sz w:val="24"/>
          <w:szCs w:val="24"/>
        </w:rPr>
        <w:t>Id</w:t>
      </w:r>
      <w:r>
        <w:rPr>
          <w:rFonts w:ascii="Times New Roman" w:hAnsi="Times New Roman" w:cs="Times New Roman"/>
          <w:sz w:val="24"/>
          <w:szCs w:val="24"/>
        </w:rPr>
        <w:t xml:space="preserve">. </w:t>
      </w:r>
      <w:r w:rsidR="008D4792">
        <w:rPr>
          <w:rFonts w:ascii="Times New Roman" w:hAnsi="Times New Roman" w:cs="Times New Roman"/>
          <w:sz w:val="24"/>
          <w:szCs w:val="24"/>
        </w:rPr>
        <w:t xml:space="preserve">366 S.E.2d </w:t>
      </w:r>
      <w:r>
        <w:rPr>
          <w:rFonts w:ascii="Times New Roman" w:hAnsi="Times New Roman" w:cs="Times New Roman"/>
          <w:sz w:val="24"/>
          <w:szCs w:val="24"/>
        </w:rPr>
        <w:t xml:space="preserve">at </w:t>
      </w:r>
      <w:r w:rsidR="008D4792">
        <w:rPr>
          <w:rFonts w:ascii="Times New Roman" w:hAnsi="Times New Roman" w:cs="Times New Roman"/>
          <w:sz w:val="24"/>
          <w:szCs w:val="24"/>
        </w:rPr>
        <w:t>72.  Here, Plaintiff is only seeking economic damages from the contract breach.</w:t>
      </w:r>
      <w:r w:rsidR="009B4457">
        <w:rPr>
          <w:rFonts w:ascii="Times New Roman" w:hAnsi="Times New Roman" w:cs="Times New Roman"/>
          <w:sz w:val="24"/>
          <w:szCs w:val="24"/>
        </w:rPr>
        <w:t xml:space="preserve"> And the contracts at issue clearly set forth Defendants</w:t>
      </w:r>
      <w:r w:rsidR="005F39E8">
        <w:rPr>
          <w:rFonts w:ascii="Times New Roman" w:hAnsi="Times New Roman" w:cs="Times New Roman"/>
          <w:sz w:val="24"/>
          <w:szCs w:val="24"/>
        </w:rPr>
        <w:t>’</w:t>
      </w:r>
      <w:r w:rsidR="009B4457">
        <w:rPr>
          <w:rFonts w:ascii="Times New Roman" w:hAnsi="Times New Roman" w:cs="Times New Roman"/>
          <w:sz w:val="24"/>
          <w:szCs w:val="24"/>
        </w:rPr>
        <w:t xml:space="preserve"> obligations to provide various services, many of which do not even qualify as medical care. </w:t>
      </w:r>
      <w:r w:rsidR="00AC4FEB">
        <w:rPr>
          <w:rFonts w:ascii="Times New Roman" w:hAnsi="Times New Roman" w:cs="Times New Roman"/>
          <w:sz w:val="24"/>
          <w:szCs w:val="24"/>
        </w:rPr>
        <w:t xml:space="preserve"> </w:t>
      </w:r>
      <w:r w:rsidR="00E67871">
        <w:rPr>
          <w:rFonts w:ascii="Times New Roman" w:hAnsi="Times New Roman" w:cs="Times New Roman"/>
          <w:sz w:val="24"/>
          <w:szCs w:val="24"/>
        </w:rPr>
        <w:t xml:space="preserve">See also, </w:t>
      </w:r>
      <w:r w:rsidR="00E67871" w:rsidRPr="00E67871">
        <w:rPr>
          <w:rFonts w:ascii="Times New Roman" w:hAnsi="Times New Roman" w:cs="Times New Roman"/>
          <w:i/>
          <w:iCs/>
          <w:sz w:val="24"/>
          <w:szCs w:val="24"/>
        </w:rPr>
        <w:t xml:space="preserve">Huffman v. </w:t>
      </w:r>
      <w:r w:rsidR="00E67871">
        <w:rPr>
          <w:rFonts w:ascii="Times New Roman" w:hAnsi="Times New Roman" w:cs="Times New Roman"/>
          <w:i/>
          <w:iCs/>
          <w:sz w:val="24"/>
          <w:szCs w:val="24"/>
        </w:rPr>
        <w:t xml:space="preserve">Beverly, </w:t>
      </w:r>
      <w:r w:rsidR="00E67871">
        <w:rPr>
          <w:rFonts w:ascii="Times New Roman" w:hAnsi="Times New Roman" w:cs="Times New Roman"/>
          <w:sz w:val="24"/>
          <w:szCs w:val="24"/>
        </w:rPr>
        <w:t xml:space="preserve">42 Va. Cir. 205, 1997 Va. Cir. Lexis 113 (Rockingham 1997)(Holding that in the context of a nursing home malpractice case, a fair reading of </w:t>
      </w:r>
      <w:r w:rsidR="00E67871" w:rsidRPr="00B734BD">
        <w:rPr>
          <w:rFonts w:ascii="Times New Roman" w:hAnsi="Times New Roman" w:cs="Times New Roman"/>
          <w:i/>
          <w:iCs/>
          <w:sz w:val="24"/>
          <w:szCs w:val="24"/>
        </w:rPr>
        <w:t>Glisson v. Loxley</w:t>
      </w:r>
      <w:r w:rsidR="00E67871">
        <w:rPr>
          <w:rFonts w:ascii="Times New Roman" w:hAnsi="Times New Roman" w:cs="Times New Roman"/>
          <w:sz w:val="24"/>
          <w:szCs w:val="24"/>
        </w:rPr>
        <w:t xml:space="preserve"> is that a medical malpractice case may be</w:t>
      </w:r>
      <w:r w:rsidR="00B734BD">
        <w:rPr>
          <w:rFonts w:ascii="Times New Roman" w:hAnsi="Times New Roman" w:cs="Times New Roman"/>
          <w:sz w:val="24"/>
          <w:szCs w:val="24"/>
        </w:rPr>
        <w:t xml:space="preserve"> premised on both contract and tort</w:t>
      </w:r>
      <w:r w:rsidR="00F75DED">
        <w:rPr>
          <w:rFonts w:ascii="Times New Roman" w:hAnsi="Times New Roman" w:cs="Times New Roman"/>
          <w:sz w:val="24"/>
          <w:szCs w:val="24"/>
        </w:rPr>
        <w:t>)</w:t>
      </w:r>
    </w:p>
    <w:p w14:paraId="2D027F3B" w14:textId="34F9031D" w:rsidR="00D24851" w:rsidRDefault="00AC4FEB" w:rsidP="00F75D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dismissal of this contract claim would inject clear, reversible error in this case.  And </w:t>
      </w:r>
      <w:r w:rsidR="00E67871">
        <w:rPr>
          <w:rFonts w:ascii="Times New Roman" w:hAnsi="Times New Roman" w:cs="Times New Roman"/>
          <w:sz w:val="24"/>
          <w:szCs w:val="24"/>
        </w:rPr>
        <w:t xml:space="preserve">at age 99, </w:t>
      </w:r>
      <w:r>
        <w:rPr>
          <w:rFonts w:ascii="Times New Roman" w:hAnsi="Times New Roman" w:cs="Times New Roman"/>
          <w:sz w:val="24"/>
          <w:szCs w:val="24"/>
        </w:rPr>
        <w:t>Plaintiff will not be alive to try this case twice.</w:t>
      </w:r>
      <w:r w:rsidR="00E67871">
        <w:rPr>
          <w:rFonts w:ascii="Times New Roman" w:hAnsi="Times New Roman" w:cs="Times New Roman"/>
          <w:sz w:val="24"/>
          <w:szCs w:val="24"/>
        </w:rPr>
        <w:t xml:space="preserve">  </w:t>
      </w:r>
    </w:p>
    <w:p w14:paraId="3FC9AAE4" w14:textId="328C8723" w:rsidR="00AC4FEB" w:rsidRDefault="00AC4FEB" w:rsidP="009B44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6A2B">
        <w:rPr>
          <w:rFonts w:ascii="Times New Roman" w:hAnsi="Times New Roman" w:cs="Times New Roman"/>
          <w:sz w:val="24"/>
          <w:szCs w:val="24"/>
        </w:rPr>
        <w:t xml:space="preserve">Wherefore, these and other premises considered, Plaintiff moves this Court for an order denying Defendants’ Demurrer and related issues in their responsive pleadings. </w:t>
      </w:r>
    </w:p>
    <w:p w14:paraId="08E683DB" w14:textId="46AC5E3A" w:rsidR="00423F76" w:rsidRDefault="00F75DED" w:rsidP="00423F76">
      <w:pPr>
        <w:tabs>
          <w:tab w:val="left" w:pos="-2160"/>
          <w:tab w:val="left" w:pos="-1440"/>
          <w:tab w:val="left" w:pos="-720"/>
        </w:tabs>
        <w:suppressAutoHyphens/>
        <w:spacing w:after="0" w:line="240" w:lineRule="auto"/>
        <w:rPr>
          <w:rFonts w:ascii="Times New Roman" w:eastAsia="Calibri" w:hAnsi="Times New Roman" w:cs="Times New Roman"/>
          <w:sz w:val="24"/>
          <w:szCs w:val="24"/>
        </w:rPr>
      </w:pPr>
      <w:bookmarkStart w:id="1" w:name="_Hlk22201835"/>
      <w:r>
        <w:rPr>
          <w:rFonts w:ascii="Times New Roman" w:eastAsia="Calibri" w:hAnsi="Times New Roman" w:cs="Times New Roman"/>
          <w:sz w:val="24"/>
          <w:szCs w:val="24"/>
        </w:rPr>
        <w:tab/>
      </w:r>
      <w:r w:rsidR="00423F76" w:rsidRPr="00FC3887">
        <w:rPr>
          <w:rFonts w:ascii="Times New Roman" w:eastAsia="Calibri" w:hAnsi="Times New Roman" w:cs="Times New Roman"/>
          <w:sz w:val="24"/>
          <w:szCs w:val="24"/>
        </w:rPr>
        <w:t xml:space="preserve">Dated: </w:t>
      </w:r>
      <w:r w:rsidR="002438B2">
        <w:rPr>
          <w:rFonts w:ascii="Times New Roman" w:eastAsia="Calibri" w:hAnsi="Times New Roman" w:cs="Times New Roman"/>
          <w:sz w:val="24"/>
          <w:szCs w:val="24"/>
        </w:rPr>
        <w:t>February 2</w:t>
      </w:r>
      <w:r w:rsidR="00423F76" w:rsidRPr="00FC3887">
        <w:rPr>
          <w:rFonts w:ascii="Times New Roman" w:eastAsia="Calibri" w:hAnsi="Times New Roman" w:cs="Times New Roman"/>
          <w:sz w:val="24"/>
          <w:szCs w:val="24"/>
        </w:rPr>
        <w:t xml:space="preserve">, </w:t>
      </w:r>
      <w:proofErr w:type="gramStart"/>
      <w:r w:rsidR="00423F76" w:rsidRPr="00FC3887">
        <w:rPr>
          <w:rFonts w:ascii="Times New Roman" w:eastAsia="Calibri" w:hAnsi="Times New Roman" w:cs="Times New Roman"/>
          <w:sz w:val="24"/>
          <w:szCs w:val="24"/>
        </w:rPr>
        <w:t>20</w:t>
      </w:r>
      <w:r w:rsidR="00E637F4" w:rsidRPr="00FC3887">
        <w:rPr>
          <w:rFonts w:ascii="Times New Roman" w:eastAsia="Calibri" w:hAnsi="Times New Roman" w:cs="Times New Roman"/>
          <w:sz w:val="24"/>
          <w:szCs w:val="24"/>
        </w:rPr>
        <w:t>22</w:t>
      </w:r>
      <w:proofErr w:type="gramEnd"/>
      <w:r w:rsidR="00423F76" w:rsidRPr="00FC3887">
        <w:rPr>
          <w:rFonts w:ascii="Times New Roman" w:eastAsia="Calibri" w:hAnsi="Times New Roman" w:cs="Times New Roman"/>
          <w:sz w:val="24"/>
          <w:szCs w:val="24"/>
        </w:rPr>
        <w:tab/>
      </w:r>
      <w:r w:rsidR="00423F76" w:rsidRPr="00FC3887">
        <w:rPr>
          <w:rFonts w:ascii="Times New Roman" w:eastAsia="Calibri" w:hAnsi="Times New Roman" w:cs="Times New Roman"/>
          <w:sz w:val="24"/>
          <w:szCs w:val="24"/>
        </w:rPr>
        <w:tab/>
        <w:t>Respectfully submitted,</w:t>
      </w:r>
    </w:p>
    <w:p w14:paraId="2536E68A" w14:textId="77777777" w:rsidR="002438B2" w:rsidRPr="00FC3887" w:rsidRDefault="002438B2" w:rsidP="00423F76">
      <w:pPr>
        <w:tabs>
          <w:tab w:val="left" w:pos="-2160"/>
          <w:tab w:val="left" w:pos="-1440"/>
          <w:tab w:val="left" w:pos="-720"/>
        </w:tabs>
        <w:suppressAutoHyphens/>
        <w:spacing w:after="0" w:line="240" w:lineRule="auto"/>
        <w:rPr>
          <w:rFonts w:ascii="Times New Roman" w:eastAsia="Calibri" w:hAnsi="Times New Roman" w:cs="Times New Roman"/>
          <w:sz w:val="24"/>
          <w:szCs w:val="24"/>
        </w:rPr>
      </w:pPr>
    </w:p>
    <w:p w14:paraId="255F9310" w14:textId="0032324B" w:rsidR="00423F76" w:rsidRPr="00FC3887" w:rsidRDefault="00423F76" w:rsidP="0020262B">
      <w:pPr>
        <w:tabs>
          <w:tab w:val="left" w:pos="-2160"/>
          <w:tab w:val="left" w:pos="-1440"/>
          <w:tab w:val="left" w:pos="-720"/>
        </w:tabs>
        <w:suppressAutoHyphens/>
        <w:spacing w:after="0" w:line="240" w:lineRule="auto"/>
        <w:rPr>
          <w:rFonts w:ascii="Times New Roman" w:eastAsia="Calibri" w:hAnsi="Times New Roman" w:cs="Times New Roman"/>
          <w:sz w:val="24"/>
          <w:szCs w:val="24"/>
        </w:rPr>
      </w:pP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0020262B" w:rsidRPr="00FC3887">
        <w:rPr>
          <w:rFonts w:ascii="Times New Roman" w:eastAsia="Calibri" w:hAnsi="Times New Roman" w:cs="Times New Roman"/>
          <w:sz w:val="24"/>
          <w:szCs w:val="24"/>
        </w:rPr>
        <w:t>Plaintiff, b</w:t>
      </w:r>
      <w:r w:rsidRPr="00FC3887">
        <w:rPr>
          <w:rFonts w:ascii="Times New Roman" w:eastAsia="Calibri" w:hAnsi="Times New Roman" w:cs="Times New Roman"/>
          <w:sz w:val="24"/>
          <w:szCs w:val="24"/>
        </w:rPr>
        <w:t xml:space="preserve">y Counsel </w:t>
      </w:r>
    </w:p>
    <w:p w14:paraId="20C02524" w14:textId="065D8AE8" w:rsidR="00AC6419" w:rsidRPr="00FC3887" w:rsidRDefault="00AC6419" w:rsidP="0020262B">
      <w:pPr>
        <w:tabs>
          <w:tab w:val="left" w:pos="-2160"/>
          <w:tab w:val="left" w:pos="-1440"/>
          <w:tab w:val="left" w:pos="-720"/>
        </w:tabs>
        <w:suppressAutoHyphens/>
        <w:spacing w:after="0" w:line="240" w:lineRule="auto"/>
        <w:rPr>
          <w:rFonts w:ascii="Times New Roman" w:eastAsia="Calibri" w:hAnsi="Times New Roman" w:cs="Times New Roman"/>
          <w:sz w:val="24"/>
          <w:szCs w:val="24"/>
        </w:rPr>
      </w:pPr>
    </w:p>
    <w:p w14:paraId="5E999DA9" w14:textId="77777777" w:rsidR="00423F76" w:rsidRPr="00FC3887" w:rsidRDefault="00423F76" w:rsidP="00423F76">
      <w:pPr>
        <w:tabs>
          <w:tab w:val="left" w:pos="-1440"/>
          <w:tab w:val="left" w:pos="-720"/>
        </w:tabs>
        <w:suppressAutoHyphens/>
        <w:spacing w:after="0" w:line="276" w:lineRule="auto"/>
        <w:rPr>
          <w:rFonts w:ascii="Times New Roman" w:eastAsia="Calibri" w:hAnsi="Times New Roman" w:cs="Times New Roman"/>
          <w:sz w:val="24"/>
          <w:szCs w:val="24"/>
        </w:rPr>
      </w:pP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t xml:space="preserve"> ________________________________</w:t>
      </w:r>
    </w:p>
    <w:p w14:paraId="464235DC" w14:textId="77777777" w:rsidR="00423F76" w:rsidRPr="00FC3887" w:rsidRDefault="00423F76" w:rsidP="00423F76">
      <w:pPr>
        <w:suppressAutoHyphens/>
        <w:spacing w:after="0" w:line="240" w:lineRule="auto"/>
        <w:rPr>
          <w:rFonts w:ascii="Times New Roman" w:eastAsia="Calibri" w:hAnsi="Times New Roman" w:cs="Times New Roman"/>
          <w:sz w:val="24"/>
          <w:szCs w:val="24"/>
        </w:rPr>
      </w:pP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t>Jeffrey J. Downey, (Va. bar #31992)</w:t>
      </w:r>
    </w:p>
    <w:p w14:paraId="75190E1D" w14:textId="77777777" w:rsidR="00423F76" w:rsidRPr="00FC3887" w:rsidRDefault="00423F76" w:rsidP="00423F76">
      <w:pPr>
        <w:suppressAutoHyphens/>
        <w:spacing w:after="0" w:line="240" w:lineRule="auto"/>
        <w:rPr>
          <w:rFonts w:ascii="Times New Roman" w:eastAsia="Calibri" w:hAnsi="Times New Roman" w:cs="Times New Roman"/>
          <w:sz w:val="24"/>
          <w:szCs w:val="24"/>
        </w:rPr>
      </w:pP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t>The Law Office of Jeffrey J. Downey</w:t>
      </w:r>
    </w:p>
    <w:p w14:paraId="5D3F5C87" w14:textId="18C5CE98" w:rsidR="00423F76" w:rsidRPr="00FC3887" w:rsidRDefault="00423F76" w:rsidP="00423F76">
      <w:pPr>
        <w:suppressAutoHyphens/>
        <w:spacing w:after="0" w:line="240" w:lineRule="auto"/>
        <w:rPr>
          <w:rFonts w:ascii="Times New Roman" w:eastAsia="Calibri" w:hAnsi="Times New Roman" w:cs="Times New Roman"/>
          <w:sz w:val="24"/>
          <w:szCs w:val="24"/>
        </w:rPr>
      </w:pP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t>8</w:t>
      </w:r>
      <w:r w:rsidR="00F75DED">
        <w:rPr>
          <w:rFonts w:ascii="Times New Roman" w:eastAsia="Calibri" w:hAnsi="Times New Roman" w:cs="Times New Roman"/>
          <w:sz w:val="24"/>
          <w:szCs w:val="24"/>
        </w:rPr>
        <w:t>300</w:t>
      </w:r>
      <w:r w:rsidRPr="00FC3887">
        <w:rPr>
          <w:rFonts w:ascii="Times New Roman" w:eastAsia="Calibri" w:hAnsi="Times New Roman" w:cs="Times New Roman"/>
          <w:sz w:val="24"/>
          <w:szCs w:val="24"/>
        </w:rPr>
        <w:t xml:space="preserve"> Greensboro Drive, Suite </w:t>
      </w:r>
      <w:r w:rsidR="00F75DED">
        <w:rPr>
          <w:rFonts w:ascii="Times New Roman" w:eastAsia="Calibri" w:hAnsi="Times New Roman" w:cs="Times New Roman"/>
          <w:sz w:val="24"/>
          <w:szCs w:val="24"/>
        </w:rPr>
        <w:t>500</w:t>
      </w:r>
    </w:p>
    <w:p w14:paraId="62CD99C2" w14:textId="77777777" w:rsidR="00423F76" w:rsidRPr="00FC3887" w:rsidRDefault="00423F76" w:rsidP="00423F76">
      <w:pPr>
        <w:suppressAutoHyphens/>
        <w:spacing w:after="0" w:line="240" w:lineRule="auto"/>
        <w:rPr>
          <w:rFonts w:ascii="Times New Roman" w:eastAsia="Calibri" w:hAnsi="Times New Roman" w:cs="Times New Roman"/>
          <w:sz w:val="24"/>
          <w:szCs w:val="24"/>
        </w:rPr>
      </w:pP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t>Mclean, VA 22102</w:t>
      </w:r>
    </w:p>
    <w:p w14:paraId="049084D7" w14:textId="77777777" w:rsidR="00423F76" w:rsidRPr="00FC3887" w:rsidRDefault="00423F76" w:rsidP="00423F76">
      <w:pPr>
        <w:suppressAutoHyphens/>
        <w:spacing w:after="0" w:line="240" w:lineRule="auto"/>
        <w:rPr>
          <w:rFonts w:ascii="Times New Roman" w:eastAsia="Calibri" w:hAnsi="Times New Roman" w:cs="Times New Roman"/>
          <w:sz w:val="24"/>
          <w:szCs w:val="24"/>
        </w:rPr>
      </w:pP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t>Phone:  703-564-7318</w:t>
      </w:r>
    </w:p>
    <w:p w14:paraId="3744EC05" w14:textId="77777777" w:rsidR="00423F76" w:rsidRPr="00FC3887" w:rsidRDefault="00423F76" w:rsidP="00423F76">
      <w:pPr>
        <w:suppressAutoHyphens/>
        <w:spacing w:after="0" w:line="240" w:lineRule="auto"/>
        <w:rPr>
          <w:rFonts w:ascii="Times New Roman" w:eastAsia="Calibri" w:hAnsi="Times New Roman" w:cs="Times New Roman"/>
          <w:sz w:val="24"/>
          <w:szCs w:val="24"/>
        </w:rPr>
      </w:pP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t>jdowney@jeffdowney.com</w:t>
      </w:r>
    </w:p>
    <w:p w14:paraId="6A1F5355" w14:textId="77777777" w:rsidR="00423F76" w:rsidRPr="00FC3887" w:rsidRDefault="00423F76" w:rsidP="00423F76">
      <w:pPr>
        <w:suppressAutoHyphens/>
        <w:spacing w:after="0" w:line="240" w:lineRule="auto"/>
        <w:rPr>
          <w:rFonts w:ascii="Times New Roman" w:eastAsia="Calibri" w:hAnsi="Times New Roman" w:cs="Times New Roman"/>
          <w:i/>
          <w:sz w:val="24"/>
          <w:szCs w:val="24"/>
        </w:rPr>
      </w:pPr>
      <w:r w:rsidRPr="00FC3887">
        <w:rPr>
          <w:rFonts w:ascii="Times New Roman" w:eastAsia="Calibri" w:hAnsi="Times New Roman" w:cs="Times New Roman"/>
          <w:i/>
          <w:sz w:val="24"/>
          <w:szCs w:val="24"/>
        </w:rPr>
        <w:tab/>
      </w:r>
      <w:r w:rsidRPr="00FC3887">
        <w:rPr>
          <w:rFonts w:ascii="Times New Roman" w:eastAsia="Calibri" w:hAnsi="Times New Roman" w:cs="Times New Roman"/>
          <w:i/>
          <w:sz w:val="24"/>
          <w:szCs w:val="24"/>
        </w:rPr>
        <w:tab/>
      </w:r>
      <w:r w:rsidRPr="00FC3887">
        <w:rPr>
          <w:rFonts w:ascii="Times New Roman" w:eastAsia="Calibri" w:hAnsi="Times New Roman" w:cs="Times New Roman"/>
          <w:i/>
          <w:sz w:val="24"/>
          <w:szCs w:val="24"/>
        </w:rPr>
        <w:tab/>
      </w:r>
      <w:r w:rsidRPr="00FC3887">
        <w:rPr>
          <w:rFonts w:ascii="Times New Roman" w:eastAsia="Calibri" w:hAnsi="Times New Roman" w:cs="Times New Roman"/>
          <w:i/>
          <w:sz w:val="24"/>
          <w:szCs w:val="24"/>
        </w:rPr>
        <w:tab/>
      </w:r>
      <w:r w:rsidRPr="00FC3887">
        <w:rPr>
          <w:rFonts w:ascii="Times New Roman" w:eastAsia="Calibri" w:hAnsi="Times New Roman" w:cs="Times New Roman"/>
          <w:i/>
          <w:sz w:val="24"/>
          <w:szCs w:val="24"/>
        </w:rPr>
        <w:tab/>
      </w:r>
      <w:r w:rsidRPr="00FC3887">
        <w:rPr>
          <w:rFonts w:ascii="Times New Roman" w:eastAsia="Calibri" w:hAnsi="Times New Roman" w:cs="Times New Roman"/>
          <w:i/>
          <w:sz w:val="24"/>
          <w:szCs w:val="24"/>
        </w:rPr>
        <w:tab/>
        <w:t>Counsel for Plaintiff</w:t>
      </w:r>
    </w:p>
    <w:p w14:paraId="4ECCC3B6" w14:textId="77777777" w:rsidR="00423F76" w:rsidRPr="00FC3887" w:rsidRDefault="00423F76" w:rsidP="00423F76">
      <w:pPr>
        <w:suppressAutoHyphens/>
        <w:spacing w:after="0" w:line="240" w:lineRule="auto"/>
        <w:rPr>
          <w:rFonts w:ascii="Times New Roman" w:eastAsia="Calibri" w:hAnsi="Times New Roman" w:cs="Times New Roman"/>
          <w:sz w:val="24"/>
          <w:szCs w:val="24"/>
        </w:rPr>
      </w:pPr>
    </w:p>
    <w:p w14:paraId="207D032C" w14:textId="77777777" w:rsidR="00423F76" w:rsidRPr="00FC3887" w:rsidRDefault="00423F76" w:rsidP="00423F76">
      <w:pPr>
        <w:suppressAutoHyphens/>
        <w:spacing w:after="0" w:line="240" w:lineRule="auto"/>
        <w:rPr>
          <w:rFonts w:ascii="Times New Roman" w:eastAsia="Calibri" w:hAnsi="Times New Roman" w:cs="Times New Roman"/>
          <w:sz w:val="24"/>
          <w:szCs w:val="24"/>
        </w:rPr>
      </w:pP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r w:rsidRPr="00FC3887">
        <w:rPr>
          <w:rFonts w:ascii="Times New Roman" w:eastAsia="Calibri" w:hAnsi="Times New Roman" w:cs="Times New Roman"/>
          <w:sz w:val="24"/>
          <w:szCs w:val="24"/>
        </w:rPr>
        <w:tab/>
      </w:r>
    </w:p>
    <w:p w14:paraId="76EF7198" w14:textId="77777777" w:rsidR="00423F76" w:rsidRPr="00FC3887" w:rsidRDefault="00423F76" w:rsidP="00423F76">
      <w:pPr>
        <w:tabs>
          <w:tab w:val="left" w:pos="-2160"/>
          <w:tab w:val="left" w:pos="-1440"/>
          <w:tab w:val="left" w:pos="-720"/>
        </w:tabs>
        <w:suppressAutoHyphens/>
        <w:spacing w:after="480" w:line="276" w:lineRule="auto"/>
        <w:jc w:val="center"/>
        <w:rPr>
          <w:rFonts w:ascii="Times New Roman" w:eastAsia="Calibri" w:hAnsi="Times New Roman" w:cs="Times New Roman"/>
          <w:sz w:val="24"/>
          <w:szCs w:val="24"/>
        </w:rPr>
      </w:pPr>
      <w:r w:rsidRPr="00FC3887">
        <w:rPr>
          <w:rFonts w:ascii="Times New Roman" w:eastAsia="Calibri" w:hAnsi="Times New Roman" w:cs="Times New Roman"/>
          <w:b/>
          <w:bCs/>
          <w:sz w:val="24"/>
          <w:szCs w:val="24"/>
          <w:u w:val="single"/>
        </w:rPr>
        <w:t>CERTIFICATE OF MAILING</w:t>
      </w:r>
    </w:p>
    <w:p w14:paraId="5AE5C06A" w14:textId="72654DD6" w:rsidR="00423F76" w:rsidRPr="00FC3887" w:rsidRDefault="00423F76" w:rsidP="00423F76">
      <w:pPr>
        <w:suppressAutoHyphens/>
        <w:spacing w:after="0" w:line="360" w:lineRule="auto"/>
        <w:ind w:firstLine="720"/>
        <w:rPr>
          <w:rFonts w:ascii="Times New Roman" w:eastAsia="Calibri" w:hAnsi="Times New Roman" w:cs="Times New Roman"/>
          <w:sz w:val="24"/>
          <w:szCs w:val="24"/>
        </w:rPr>
      </w:pPr>
      <w:r w:rsidRPr="00FC3887">
        <w:rPr>
          <w:rFonts w:ascii="Times New Roman" w:eastAsia="Calibri" w:hAnsi="Times New Roman" w:cs="Times New Roman"/>
          <w:sz w:val="24"/>
          <w:szCs w:val="24"/>
        </w:rPr>
        <w:t>I hereby certify that a true copy of the foregoing Plaintiff’s Opposition to Defendant’s Demurrers</w:t>
      </w:r>
      <w:r w:rsidR="00F75DED">
        <w:rPr>
          <w:rFonts w:ascii="Times New Roman" w:eastAsia="Calibri" w:hAnsi="Times New Roman" w:cs="Times New Roman"/>
          <w:sz w:val="24"/>
          <w:szCs w:val="24"/>
        </w:rPr>
        <w:t xml:space="preserve"> and Responsive pleadings </w:t>
      </w:r>
      <w:r w:rsidRPr="00FC3887">
        <w:rPr>
          <w:rFonts w:ascii="Times New Roman" w:eastAsia="Calibri" w:hAnsi="Times New Roman" w:cs="Times New Roman"/>
          <w:sz w:val="24"/>
          <w:szCs w:val="24"/>
        </w:rPr>
        <w:t>was served upon Defendants, by sending a copy of this Memorandum, with attachments</w:t>
      </w:r>
      <w:r w:rsidR="00F75DED">
        <w:rPr>
          <w:rFonts w:ascii="Times New Roman" w:eastAsia="Calibri" w:hAnsi="Times New Roman" w:cs="Times New Roman"/>
          <w:sz w:val="24"/>
          <w:szCs w:val="24"/>
        </w:rPr>
        <w:t xml:space="preserve"> and notice</w:t>
      </w:r>
      <w:r w:rsidRPr="00FC3887">
        <w:rPr>
          <w:rFonts w:ascii="Times New Roman" w:eastAsia="Calibri" w:hAnsi="Times New Roman" w:cs="Times New Roman"/>
          <w:sz w:val="24"/>
          <w:szCs w:val="24"/>
        </w:rPr>
        <w:t xml:space="preserve">, </w:t>
      </w:r>
      <w:r w:rsidR="00AC6419" w:rsidRPr="00FC3887">
        <w:rPr>
          <w:rFonts w:ascii="Times New Roman" w:eastAsia="Calibri" w:hAnsi="Times New Roman" w:cs="Times New Roman"/>
          <w:sz w:val="24"/>
          <w:szCs w:val="24"/>
        </w:rPr>
        <w:t xml:space="preserve">via e-mail, this </w:t>
      </w:r>
      <w:r w:rsidRPr="00FC3887">
        <w:rPr>
          <w:rFonts w:ascii="Times New Roman" w:eastAsia="Calibri" w:hAnsi="Times New Roman" w:cs="Times New Roman"/>
          <w:sz w:val="24"/>
          <w:szCs w:val="24"/>
        </w:rPr>
        <w:t xml:space="preserve"> </w:t>
      </w:r>
      <w:r w:rsidR="00F75DED">
        <w:rPr>
          <w:rFonts w:ascii="Times New Roman" w:eastAsia="Calibri" w:hAnsi="Times New Roman" w:cs="Times New Roman"/>
          <w:sz w:val="24"/>
          <w:szCs w:val="24"/>
        </w:rPr>
        <w:t>2</w:t>
      </w:r>
      <w:r w:rsidR="00F75DED" w:rsidRPr="00F75DED">
        <w:rPr>
          <w:rFonts w:ascii="Times New Roman" w:eastAsia="Calibri" w:hAnsi="Times New Roman" w:cs="Times New Roman"/>
          <w:sz w:val="24"/>
          <w:szCs w:val="24"/>
          <w:vertAlign w:val="superscript"/>
        </w:rPr>
        <w:t>nd</w:t>
      </w:r>
      <w:r w:rsidR="00F75DED">
        <w:rPr>
          <w:rFonts w:ascii="Times New Roman" w:eastAsia="Calibri" w:hAnsi="Times New Roman" w:cs="Times New Roman"/>
          <w:sz w:val="24"/>
          <w:szCs w:val="24"/>
        </w:rPr>
        <w:t xml:space="preserve"> of February</w:t>
      </w:r>
      <w:r w:rsidR="00AC6419" w:rsidRPr="00FC3887">
        <w:rPr>
          <w:rFonts w:ascii="Times New Roman" w:eastAsia="Calibri" w:hAnsi="Times New Roman" w:cs="Times New Roman"/>
          <w:sz w:val="24"/>
          <w:szCs w:val="24"/>
        </w:rPr>
        <w:t xml:space="preserve"> 202</w:t>
      </w:r>
      <w:r w:rsidR="00F75DED">
        <w:rPr>
          <w:rFonts w:ascii="Times New Roman" w:eastAsia="Calibri" w:hAnsi="Times New Roman" w:cs="Times New Roman"/>
          <w:sz w:val="24"/>
          <w:szCs w:val="24"/>
        </w:rPr>
        <w:t>3</w:t>
      </w:r>
      <w:r w:rsidRPr="00FC3887">
        <w:rPr>
          <w:rFonts w:ascii="Times New Roman" w:eastAsia="Calibri" w:hAnsi="Times New Roman" w:cs="Times New Roman"/>
          <w:sz w:val="24"/>
          <w:szCs w:val="24"/>
        </w:rPr>
        <w:t>,  to the following:</w:t>
      </w:r>
    </w:p>
    <w:p w14:paraId="3CC54844" w14:textId="6EC5D5AD" w:rsidR="00B22A01" w:rsidRPr="00FC3887" w:rsidRDefault="00B22A01" w:rsidP="00B22A01">
      <w:pPr>
        <w:suppressAutoHyphens/>
        <w:spacing w:after="0" w:line="240" w:lineRule="auto"/>
        <w:ind w:firstLine="720"/>
        <w:rPr>
          <w:rFonts w:ascii="Times New Roman" w:eastAsia="Calibri" w:hAnsi="Times New Roman" w:cs="Times New Roman"/>
          <w:sz w:val="24"/>
          <w:szCs w:val="24"/>
        </w:rPr>
      </w:pPr>
      <w:r w:rsidRPr="00FC3887">
        <w:rPr>
          <w:rFonts w:ascii="Times New Roman" w:eastAsia="Calibri" w:hAnsi="Times New Roman" w:cs="Times New Roman"/>
          <w:sz w:val="24"/>
          <w:szCs w:val="24"/>
        </w:rPr>
        <w:lastRenderedPageBreak/>
        <w:tab/>
        <w:t xml:space="preserve">Ryan </w:t>
      </w:r>
      <w:proofErr w:type="spellStart"/>
      <w:r w:rsidRPr="00FC3887">
        <w:rPr>
          <w:rFonts w:ascii="Times New Roman" w:eastAsia="Calibri" w:hAnsi="Times New Roman" w:cs="Times New Roman"/>
          <w:sz w:val="24"/>
          <w:szCs w:val="24"/>
        </w:rPr>
        <w:t>Furguson</w:t>
      </w:r>
      <w:proofErr w:type="spellEnd"/>
    </w:p>
    <w:p w14:paraId="36A35026" w14:textId="5A131E02" w:rsidR="00B22A01" w:rsidRPr="00FC3887" w:rsidRDefault="00B22A01" w:rsidP="00B22A01">
      <w:pPr>
        <w:suppressAutoHyphens/>
        <w:spacing w:after="0" w:line="240" w:lineRule="auto"/>
        <w:ind w:firstLine="720"/>
        <w:rPr>
          <w:rFonts w:ascii="Times New Roman" w:eastAsia="Calibri" w:hAnsi="Times New Roman" w:cs="Times New Roman"/>
          <w:sz w:val="24"/>
          <w:szCs w:val="24"/>
        </w:rPr>
      </w:pPr>
      <w:r w:rsidRPr="00FC3887">
        <w:rPr>
          <w:rFonts w:ascii="Times New Roman" w:eastAsia="Calibri" w:hAnsi="Times New Roman" w:cs="Times New Roman"/>
          <w:sz w:val="24"/>
          <w:szCs w:val="24"/>
        </w:rPr>
        <w:tab/>
        <w:t xml:space="preserve">Kiernan </w:t>
      </w:r>
      <w:proofErr w:type="spellStart"/>
      <w:r w:rsidRPr="00FC3887">
        <w:rPr>
          <w:rFonts w:ascii="Times New Roman" w:eastAsia="Calibri" w:hAnsi="Times New Roman" w:cs="Times New Roman"/>
          <w:sz w:val="24"/>
          <w:szCs w:val="24"/>
        </w:rPr>
        <w:t>Trebach</w:t>
      </w:r>
      <w:proofErr w:type="spellEnd"/>
      <w:r w:rsidRPr="00FC3887">
        <w:rPr>
          <w:rFonts w:ascii="Times New Roman" w:eastAsia="Calibri" w:hAnsi="Times New Roman" w:cs="Times New Roman"/>
          <w:sz w:val="24"/>
          <w:szCs w:val="24"/>
        </w:rPr>
        <w:t>, LLC</w:t>
      </w:r>
    </w:p>
    <w:p w14:paraId="2A731B7A" w14:textId="711C2E75" w:rsidR="00B22A01" w:rsidRPr="00FC3887" w:rsidRDefault="00B22A01" w:rsidP="00B22A01">
      <w:pPr>
        <w:suppressAutoHyphens/>
        <w:spacing w:after="0" w:line="240" w:lineRule="auto"/>
        <w:ind w:firstLine="720"/>
        <w:rPr>
          <w:rFonts w:ascii="Times New Roman" w:eastAsia="Calibri" w:hAnsi="Times New Roman" w:cs="Times New Roman"/>
          <w:sz w:val="24"/>
          <w:szCs w:val="24"/>
        </w:rPr>
      </w:pPr>
      <w:r w:rsidRPr="00FC3887">
        <w:rPr>
          <w:rFonts w:ascii="Times New Roman" w:eastAsia="Calibri" w:hAnsi="Times New Roman" w:cs="Times New Roman"/>
          <w:sz w:val="24"/>
          <w:szCs w:val="24"/>
        </w:rPr>
        <w:tab/>
        <w:t>1108 E. Main St, Suite 801</w:t>
      </w:r>
    </w:p>
    <w:p w14:paraId="612F4560" w14:textId="13AA4744" w:rsidR="00B22A01" w:rsidRPr="00FC3887" w:rsidRDefault="00B22A01" w:rsidP="00B22A01">
      <w:pPr>
        <w:suppressAutoHyphens/>
        <w:spacing w:after="0" w:line="240" w:lineRule="auto"/>
        <w:ind w:firstLine="720"/>
        <w:rPr>
          <w:rFonts w:ascii="Times New Roman" w:eastAsia="Calibri" w:hAnsi="Times New Roman" w:cs="Times New Roman"/>
          <w:sz w:val="24"/>
          <w:szCs w:val="24"/>
        </w:rPr>
      </w:pPr>
      <w:r w:rsidRPr="00FC3887">
        <w:rPr>
          <w:rFonts w:ascii="Times New Roman" w:eastAsia="Calibri" w:hAnsi="Times New Roman" w:cs="Times New Roman"/>
          <w:sz w:val="24"/>
          <w:szCs w:val="24"/>
        </w:rPr>
        <w:tab/>
        <w:t>Richmond, VA  23219</w:t>
      </w:r>
    </w:p>
    <w:p w14:paraId="067CC463" w14:textId="24E16787" w:rsidR="00B22A01" w:rsidRPr="00FC3887" w:rsidRDefault="00B22A01" w:rsidP="00B22A01">
      <w:pPr>
        <w:suppressAutoHyphens/>
        <w:spacing w:after="0" w:line="240" w:lineRule="auto"/>
        <w:ind w:firstLine="720"/>
        <w:rPr>
          <w:rFonts w:ascii="Times New Roman" w:eastAsia="Calibri" w:hAnsi="Times New Roman" w:cs="Times New Roman"/>
          <w:sz w:val="24"/>
          <w:szCs w:val="24"/>
        </w:rPr>
      </w:pPr>
      <w:r w:rsidRPr="00FC3887">
        <w:rPr>
          <w:rFonts w:ascii="Times New Roman" w:eastAsia="Calibri" w:hAnsi="Times New Roman" w:cs="Times New Roman"/>
          <w:sz w:val="24"/>
          <w:szCs w:val="24"/>
        </w:rPr>
        <w:tab/>
        <w:t>Email: rfurguson@kiernantrebach.com</w:t>
      </w:r>
    </w:p>
    <w:p w14:paraId="45CD06D7" w14:textId="4FC5A333" w:rsidR="00B22A01" w:rsidRPr="00FC3887" w:rsidRDefault="00B22A01" w:rsidP="00B22A01">
      <w:pPr>
        <w:suppressAutoHyphens/>
        <w:spacing w:after="0" w:line="240" w:lineRule="auto"/>
        <w:ind w:firstLine="720"/>
        <w:rPr>
          <w:rFonts w:ascii="Times New Roman" w:eastAsia="Calibri" w:hAnsi="Times New Roman" w:cs="Times New Roman"/>
          <w:sz w:val="24"/>
          <w:szCs w:val="24"/>
        </w:rPr>
      </w:pPr>
      <w:r w:rsidRPr="00FC3887">
        <w:rPr>
          <w:rFonts w:ascii="Times New Roman" w:eastAsia="Calibri" w:hAnsi="Times New Roman" w:cs="Times New Roman"/>
          <w:sz w:val="24"/>
          <w:szCs w:val="24"/>
        </w:rPr>
        <w:tab/>
        <w:t>Phone: 804-430-9200</w:t>
      </w:r>
    </w:p>
    <w:p w14:paraId="5D9CB1BB" w14:textId="77777777" w:rsidR="0020262B" w:rsidRPr="00FC3887" w:rsidRDefault="0020262B" w:rsidP="00423F76">
      <w:pPr>
        <w:suppressAutoHyphens/>
        <w:spacing w:after="0" w:line="360" w:lineRule="auto"/>
        <w:ind w:firstLine="720"/>
        <w:rPr>
          <w:rFonts w:ascii="Times New Roman" w:eastAsia="Calibri" w:hAnsi="Times New Roman" w:cs="Times New Roman"/>
          <w:sz w:val="24"/>
          <w:szCs w:val="24"/>
        </w:rPr>
      </w:pPr>
    </w:p>
    <w:p w14:paraId="3B138770" w14:textId="77777777" w:rsidR="00423F76" w:rsidRPr="00FC3887" w:rsidRDefault="00423F76" w:rsidP="0020262B">
      <w:pPr>
        <w:widowControl w:val="0"/>
        <w:autoSpaceDE w:val="0"/>
        <w:autoSpaceDN w:val="0"/>
        <w:adjustRightInd w:val="0"/>
        <w:spacing w:after="0" w:line="240" w:lineRule="auto"/>
        <w:rPr>
          <w:rFonts w:ascii="Calibri" w:eastAsia="Calibri" w:hAnsi="Calibri" w:cs="Times New Roman"/>
          <w:sz w:val="24"/>
          <w:szCs w:val="24"/>
        </w:rPr>
      </w:pPr>
    </w:p>
    <w:p w14:paraId="0F19A7B3" w14:textId="6513E18E" w:rsidR="00423F76" w:rsidRPr="00FC3887" w:rsidRDefault="0020262B" w:rsidP="00423F76">
      <w:pPr>
        <w:suppressAutoHyphens/>
        <w:spacing w:after="0" w:line="240" w:lineRule="auto"/>
        <w:ind w:firstLine="720"/>
        <w:rPr>
          <w:rFonts w:ascii="Times New Roman" w:eastAsia="Calibri" w:hAnsi="Times New Roman" w:cs="Times New Roman"/>
          <w:bCs/>
          <w:sz w:val="24"/>
          <w:szCs w:val="24"/>
        </w:rPr>
      </w:pPr>
      <w:r w:rsidRPr="00FC3887">
        <w:rPr>
          <w:rFonts w:ascii="Times New Roman" w:eastAsia="Calibri" w:hAnsi="Times New Roman" w:cs="Times New Roman"/>
          <w:bCs/>
          <w:sz w:val="24"/>
          <w:szCs w:val="24"/>
        </w:rPr>
        <w:tab/>
      </w:r>
      <w:r w:rsidRPr="00FC3887">
        <w:rPr>
          <w:rFonts w:ascii="Times New Roman" w:eastAsia="Calibri" w:hAnsi="Times New Roman" w:cs="Times New Roman"/>
          <w:bCs/>
          <w:sz w:val="24"/>
          <w:szCs w:val="24"/>
        </w:rPr>
        <w:tab/>
      </w:r>
      <w:r w:rsidRPr="00FC3887">
        <w:rPr>
          <w:rFonts w:ascii="Times New Roman" w:eastAsia="Calibri" w:hAnsi="Times New Roman" w:cs="Times New Roman"/>
          <w:bCs/>
          <w:sz w:val="24"/>
          <w:szCs w:val="24"/>
        </w:rPr>
        <w:tab/>
      </w:r>
      <w:r w:rsidRPr="00FC3887">
        <w:rPr>
          <w:rFonts w:ascii="Times New Roman" w:eastAsia="Calibri" w:hAnsi="Times New Roman" w:cs="Times New Roman"/>
          <w:bCs/>
          <w:sz w:val="24"/>
          <w:szCs w:val="24"/>
        </w:rPr>
        <w:tab/>
      </w:r>
      <w:r w:rsidRPr="00FC3887">
        <w:rPr>
          <w:rFonts w:ascii="Times New Roman" w:eastAsia="Calibri" w:hAnsi="Times New Roman" w:cs="Times New Roman"/>
          <w:bCs/>
          <w:sz w:val="24"/>
          <w:szCs w:val="24"/>
        </w:rPr>
        <w:tab/>
      </w:r>
      <w:r w:rsidRPr="00FC3887">
        <w:rPr>
          <w:rFonts w:ascii="Times New Roman" w:eastAsia="Calibri" w:hAnsi="Times New Roman" w:cs="Times New Roman"/>
          <w:bCs/>
          <w:sz w:val="24"/>
          <w:szCs w:val="24"/>
        </w:rPr>
        <w:tab/>
      </w:r>
      <w:r w:rsidR="00423F76" w:rsidRPr="00FC3887">
        <w:rPr>
          <w:rFonts w:ascii="Times New Roman" w:eastAsia="Calibri" w:hAnsi="Times New Roman" w:cs="Times New Roman"/>
          <w:bCs/>
          <w:sz w:val="24"/>
          <w:szCs w:val="24"/>
          <w:u w:val="single"/>
        </w:rPr>
        <w:tab/>
      </w:r>
      <w:r w:rsidR="00423F76" w:rsidRPr="00FC3887">
        <w:rPr>
          <w:rFonts w:ascii="Times New Roman" w:eastAsia="Calibri" w:hAnsi="Times New Roman" w:cs="Times New Roman"/>
          <w:bCs/>
          <w:sz w:val="24"/>
          <w:szCs w:val="24"/>
          <w:u w:val="single"/>
        </w:rPr>
        <w:tab/>
      </w:r>
      <w:r w:rsidR="00423F76" w:rsidRPr="00FC3887">
        <w:rPr>
          <w:rFonts w:ascii="Times New Roman" w:eastAsia="Calibri" w:hAnsi="Times New Roman" w:cs="Times New Roman"/>
          <w:bCs/>
          <w:sz w:val="24"/>
          <w:szCs w:val="24"/>
          <w:u w:val="single"/>
        </w:rPr>
        <w:tab/>
      </w:r>
      <w:r w:rsidR="00423F76" w:rsidRPr="00FC3887">
        <w:rPr>
          <w:rFonts w:ascii="Times New Roman" w:eastAsia="Calibri" w:hAnsi="Times New Roman" w:cs="Times New Roman"/>
          <w:bCs/>
          <w:sz w:val="24"/>
          <w:szCs w:val="24"/>
          <w:u w:val="single"/>
        </w:rPr>
        <w:tab/>
      </w:r>
    </w:p>
    <w:p w14:paraId="66432D74" w14:textId="6543CAB0" w:rsidR="00F75DED" w:rsidRDefault="00423F76" w:rsidP="00423F76">
      <w:pPr>
        <w:suppressAutoHyphens/>
        <w:spacing w:after="0" w:line="240" w:lineRule="auto"/>
        <w:ind w:firstLine="720"/>
        <w:rPr>
          <w:rFonts w:ascii="Times New Roman" w:eastAsia="Calibri" w:hAnsi="Times New Roman" w:cs="Times New Roman"/>
          <w:bCs/>
          <w:sz w:val="24"/>
          <w:szCs w:val="24"/>
        </w:rPr>
      </w:pPr>
      <w:r w:rsidRPr="00FC3887">
        <w:rPr>
          <w:rFonts w:ascii="Times New Roman" w:eastAsia="Calibri" w:hAnsi="Times New Roman" w:cs="Times New Roman"/>
          <w:bCs/>
          <w:sz w:val="24"/>
          <w:szCs w:val="24"/>
        </w:rPr>
        <w:tab/>
      </w:r>
      <w:r w:rsidRPr="00FC3887">
        <w:rPr>
          <w:rFonts w:ascii="Times New Roman" w:eastAsia="Calibri" w:hAnsi="Times New Roman" w:cs="Times New Roman"/>
          <w:bCs/>
          <w:sz w:val="24"/>
          <w:szCs w:val="24"/>
        </w:rPr>
        <w:tab/>
      </w:r>
      <w:r w:rsidRPr="00FC3887">
        <w:rPr>
          <w:rFonts w:ascii="Times New Roman" w:eastAsia="Calibri" w:hAnsi="Times New Roman" w:cs="Times New Roman"/>
          <w:bCs/>
          <w:sz w:val="24"/>
          <w:szCs w:val="24"/>
        </w:rPr>
        <w:tab/>
      </w:r>
      <w:r w:rsidRPr="00FC3887">
        <w:rPr>
          <w:rFonts w:ascii="Times New Roman" w:eastAsia="Calibri" w:hAnsi="Times New Roman" w:cs="Times New Roman"/>
          <w:bCs/>
          <w:sz w:val="24"/>
          <w:szCs w:val="24"/>
        </w:rPr>
        <w:tab/>
      </w:r>
      <w:r w:rsidRPr="00FC3887">
        <w:rPr>
          <w:rFonts w:ascii="Times New Roman" w:eastAsia="Calibri" w:hAnsi="Times New Roman" w:cs="Times New Roman"/>
          <w:bCs/>
          <w:sz w:val="24"/>
          <w:szCs w:val="24"/>
        </w:rPr>
        <w:tab/>
      </w:r>
      <w:r w:rsidRPr="00FC3887">
        <w:rPr>
          <w:rFonts w:ascii="Times New Roman" w:eastAsia="Calibri" w:hAnsi="Times New Roman" w:cs="Times New Roman"/>
          <w:bCs/>
          <w:sz w:val="24"/>
          <w:szCs w:val="24"/>
        </w:rPr>
        <w:tab/>
        <w:t xml:space="preserve">        Jeffrey J. Downey</w:t>
      </w:r>
    </w:p>
    <w:p w14:paraId="74C3A4EA" w14:textId="77777777" w:rsidR="00F75DED" w:rsidRDefault="00F75DED">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14:paraId="39113C51" w14:textId="77777777" w:rsidR="00AC6419" w:rsidRDefault="00AC6419" w:rsidP="00423F76">
      <w:pPr>
        <w:suppressAutoHyphens/>
        <w:spacing w:after="0" w:line="240" w:lineRule="auto"/>
        <w:ind w:firstLine="720"/>
        <w:rPr>
          <w:rFonts w:ascii="Times New Roman" w:eastAsia="Calibri" w:hAnsi="Times New Roman" w:cs="Times New Roman"/>
          <w:bCs/>
          <w:sz w:val="24"/>
          <w:szCs w:val="24"/>
        </w:rPr>
      </w:pPr>
    </w:p>
    <w:p w14:paraId="7004B4ED" w14:textId="7F9DD544" w:rsidR="000B4BCD" w:rsidRDefault="000B4BCD" w:rsidP="00423F76">
      <w:pPr>
        <w:suppressAutoHyphens/>
        <w:spacing w:after="0" w:line="240" w:lineRule="auto"/>
        <w:ind w:firstLine="720"/>
        <w:rPr>
          <w:rFonts w:ascii="Times New Roman" w:eastAsia="Calibri" w:hAnsi="Times New Roman" w:cs="Times New Roman"/>
          <w:bCs/>
          <w:sz w:val="24"/>
          <w:szCs w:val="24"/>
        </w:rPr>
      </w:pPr>
    </w:p>
    <w:p w14:paraId="650B8491" w14:textId="77777777" w:rsidR="000B4BCD" w:rsidRPr="00FC3887" w:rsidRDefault="000B4BCD" w:rsidP="000B4BCD">
      <w:pPr>
        <w:suppressAutoHyphens/>
        <w:spacing w:after="0" w:line="240" w:lineRule="auto"/>
        <w:rPr>
          <w:rFonts w:ascii="Times New Roman" w:eastAsia="Calibri" w:hAnsi="Times New Roman" w:cs="Times New Roman"/>
          <w:bCs/>
          <w:sz w:val="24"/>
          <w:szCs w:val="24"/>
        </w:rPr>
      </w:pPr>
    </w:p>
    <w:p w14:paraId="0393F212" w14:textId="5DBA4A05" w:rsidR="00757FC4" w:rsidRDefault="00757FC4" w:rsidP="000B4BCD">
      <w:pPr>
        <w:spacing w:after="0" w:line="480" w:lineRule="auto"/>
        <w:ind w:firstLine="720"/>
        <w:jc w:val="both"/>
        <w:rPr>
          <w:rFonts w:ascii="Times New Roman" w:hAnsi="Times New Roman"/>
          <w:sz w:val="24"/>
          <w:szCs w:val="24"/>
        </w:rPr>
      </w:pPr>
    </w:p>
    <w:p w14:paraId="59614ABF" w14:textId="3C8E0FBC" w:rsidR="00AC6419" w:rsidRPr="00F75DED" w:rsidRDefault="00AC6419" w:rsidP="00AC6419">
      <w:pPr>
        <w:suppressAutoHyphens/>
        <w:spacing w:after="0" w:line="240" w:lineRule="auto"/>
        <w:ind w:firstLine="720"/>
        <w:jc w:val="center"/>
        <w:rPr>
          <w:rFonts w:ascii="Times New Roman" w:eastAsia="Calibri" w:hAnsi="Times New Roman" w:cs="Times New Roman"/>
          <w:b/>
          <w:sz w:val="144"/>
          <w:szCs w:val="144"/>
        </w:rPr>
      </w:pPr>
      <w:proofErr w:type="spellStart"/>
      <w:r w:rsidRPr="00F75DED">
        <w:rPr>
          <w:rFonts w:ascii="Times New Roman" w:eastAsia="Calibri" w:hAnsi="Times New Roman" w:cs="Times New Roman"/>
          <w:b/>
          <w:sz w:val="144"/>
          <w:szCs w:val="144"/>
        </w:rPr>
        <w:t>Exh</w:t>
      </w:r>
      <w:proofErr w:type="spellEnd"/>
      <w:r w:rsidRPr="00F75DED">
        <w:rPr>
          <w:rFonts w:ascii="Times New Roman" w:eastAsia="Calibri" w:hAnsi="Times New Roman" w:cs="Times New Roman"/>
          <w:b/>
          <w:sz w:val="144"/>
          <w:szCs w:val="144"/>
        </w:rPr>
        <w:t>. No. 1</w:t>
      </w:r>
    </w:p>
    <w:p w14:paraId="30FE6DE6" w14:textId="77777777" w:rsidR="00AC6419" w:rsidRPr="00FC3887" w:rsidRDefault="00AC6419">
      <w:pPr>
        <w:rPr>
          <w:rFonts w:ascii="Times New Roman" w:eastAsia="Calibri" w:hAnsi="Times New Roman" w:cs="Times New Roman"/>
          <w:b/>
          <w:sz w:val="24"/>
          <w:szCs w:val="24"/>
        </w:rPr>
      </w:pPr>
      <w:r w:rsidRPr="00FC3887">
        <w:rPr>
          <w:rFonts w:ascii="Times New Roman" w:eastAsia="Calibri" w:hAnsi="Times New Roman" w:cs="Times New Roman"/>
          <w:b/>
          <w:sz w:val="24"/>
          <w:szCs w:val="24"/>
        </w:rPr>
        <w:br w:type="page"/>
      </w:r>
    </w:p>
    <w:p w14:paraId="17BCAEE4" w14:textId="6D9AC175" w:rsidR="00AC6419" w:rsidRPr="00F75DED" w:rsidRDefault="00AC6419" w:rsidP="00AC6419">
      <w:pPr>
        <w:suppressAutoHyphens/>
        <w:spacing w:after="0" w:line="240" w:lineRule="auto"/>
        <w:ind w:firstLine="720"/>
        <w:jc w:val="center"/>
        <w:rPr>
          <w:rFonts w:ascii="Times New Roman" w:eastAsia="Calibri" w:hAnsi="Times New Roman" w:cs="Times New Roman"/>
          <w:b/>
          <w:sz w:val="144"/>
          <w:szCs w:val="144"/>
        </w:rPr>
      </w:pPr>
      <w:proofErr w:type="spellStart"/>
      <w:r w:rsidRPr="00F75DED">
        <w:rPr>
          <w:rFonts w:ascii="Times New Roman" w:eastAsia="Calibri" w:hAnsi="Times New Roman" w:cs="Times New Roman"/>
          <w:b/>
          <w:sz w:val="144"/>
          <w:szCs w:val="144"/>
        </w:rPr>
        <w:lastRenderedPageBreak/>
        <w:t>Exh</w:t>
      </w:r>
      <w:proofErr w:type="spellEnd"/>
      <w:r w:rsidRPr="00F75DED">
        <w:rPr>
          <w:rFonts w:ascii="Times New Roman" w:eastAsia="Calibri" w:hAnsi="Times New Roman" w:cs="Times New Roman"/>
          <w:b/>
          <w:sz w:val="144"/>
          <w:szCs w:val="144"/>
        </w:rPr>
        <w:t>. No. 2</w:t>
      </w:r>
    </w:p>
    <w:p w14:paraId="64FC8CAE" w14:textId="77777777" w:rsidR="00AC6419" w:rsidRPr="00FC3887" w:rsidRDefault="00AC6419">
      <w:pPr>
        <w:rPr>
          <w:rFonts w:ascii="Times New Roman" w:eastAsia="Calibri" w:hAnsi="Times New Roman" w:cs="Times New Roman"/>
          <w:b/>
          <w:sz w:val="24"/>
          <w:szCs w:val="24"/>
        </w:rPr>
      </w:pPr>
      <w:r w:rsidRPr="00FC3887">
        <w:rPr>
          <w:rFonts w:ascii="Times New Roman" w:eastAsia="Calibri" w:hAnsi="Times New Roman" w:cs="Times New Roman"/>
          <w:b/>
          <w:sz w:val="24"/>
          <w:szCs w:val="24"/>
        </w:rPr>
        <w:br w:type="page"/>
      </w:r>
    </w:p>
    <w:p w14:paraId="3AA52C21" w14:textId="7F369E76" w:rsidR="00F75DED" w:rsidRDefault="00AC6419" w:rsidP="00AC6419">
      <w:pPr>
        <w:suppressAutoHyphens/>
        <w:spacing w:after="0" w:line="240" w:lineRule="auto"/>
        <w:ind w:firstLine="720"/>
        <w:jc w:val="center"/>
        <w:rPr>
          <w:rFonts w:ascii="Times New Roman" w:eastAsia="Calibri" w:hAnsi="Times New Roman" w:cs="Times New Roman"/>
          <w:b/>
          <w:sz w:val="144"/>
          <w:szCs w:val="144"/>
        </w:rPr>
      </w:pPr>
      <w:proofErr w:type="spellStart"/>
      <w:r w:rsidRPr="00F75DED">
        <w:rPr>
          <w:rFonts w:ascii="Times New Roman" w:eastAsia="Calibri" w:hAnsi="Times New Roman" w:cs="Times New Roman"/>
          <w:b/>
          <w:sz w:val="144"/>
          <w:szCs w:val="144"/>
        </w:rPr>
        <w:lastRenderedPageBreak/>
        <w:t>Exh</w:t>
      </w:r>
      <w:proofErr w:type="spellEnd"/>
      <w:r w:rsidRPr="00F75DED">
        <w:rPr>
          <w:rFonts w:ascii="Times New Roman" w:eastAsia="Calibri" w:hAnsi="Times New Roman" w:cs="Times New Roman"/>
          <w:b/>
          <w:sz w:val="144"/>
          <w:szCs w:val="144"/>
        </w:rPr>
        <w:t>. No. 3</w:t>
      </w:r>
    </w:p>
    <w:p w14:paraId="6D6A009D" w14:textId="77777777" w:rsidR="00F75DED" w:rsidRDefault="00F75DED">
      <w:pPr>
        <w:rPr>
          <w:rFonts w:ascii="Times New Roman" w:eastAsia="Calibri" w:hAnsi="Times New Roman" w:cs="Times New Roman"/>
          <w:b/>
          <w:sz w:val="144"/>
          <w:szCs w:val="144"/>
        </w:rPr>
      </w:pPr>
      <w:r>
        <w:rPr>
          <w:rFonts w:ascii="Times New Roman" w:eastAsia="Calibri" w:hAnsi="Times New Roman" w:cs="Times New Roman"/>
          <w:b/>
          <w:sz w:val="144"/>
          <w:szCs w:val="144"/>
        </w:rPr>
        <w:br w:type="page"/>
      </w:r>
    </w:p>
    <w:p w14:paraId="1478F408" w14:textId="4FD725DF" w:rsidR="00F75DED" w:rsidRDefault="00F75DED" w:rsidP="00AC6419">
      <w:pPr>
        <w:suppressAutoHyphens/>
        <w:spacing w:after="0" w:line="240" w:lineRule="auto"/>
        <w:ind w:firstLine="720"/>
        <w:jc w:val="center"/>
        <w:rPr>
          <w:rFonts w:ascii="Times New Roman" w:eastAsia="Calibri" w:hAnsi="Times New Roman" w:cs="Times New Roman"/>
          <w:b/>
          <w:sz w:val="144"/>
          <w:szCs w:val="144"/>
        </w:rPr>
      </w:pPr>
      <w:proofErr w:type="spellStart"/>
      <w:r>
        <w:rPr>
          <w:rFonts w:ascii="Times New Roman" w:eastAsia="Calibri" w:hAnsi="Times New Roman" w:cs="Times New Roman"/>
          <w:b/>
          <w:sz w:val="144"/>
          <w:szCs w:val="144"/>
        </w:rPr>
        <w:lastRenderedPageBreak/>
        <w:t>Exh</w:t>
      </w:r>
      <w:proofErr w:type="spellEnd"/>
      <w:r>
        <w:rPr>
          <w:rFonts w:ascii="Times New Roman" w:eastAsia="Calibri" w:hAnsi="Times New Roman" w:cs="Times New Roman"/>
          <w:b/>
          <w:sz w:val="144"/>
          <w:szCs w:val="144"/>
        </w:rPr>
        <w:t>. No. 4</w:t>
      </w:r>
    </w:p>
    <w:p w14:paraId="0BD4CC08" w14:textId="77777777" w:rsidR="00F75DED" w:rsidRDefault="00F75DED">
      <w:pPr>
        <w:rPr>
          <w:rFonts w:ascii="Times New Roman" w:eastAsia="Calibri" w:hAnsi="Times New Roman" w:cs="Times New Roman"/>
          <w:b/>
          <w:sz w:val="144"/>
          <w:szCs w:val="144"/>
        </w:rPr>
      </w:pPr>
      <w:r>
        <w:rPr>
          <w:rFonts w:ascii="Times New Roman" w:eastAsia="Calibri" w:hAnsi="Times New Roman" w:cs="Times New Roman"/>
          <w:b/>
          <w:sz w:val="144"/>
          <w:szCs w:val="144"/>
        </w:rPr>
        <w:br w:type="page"/>
      </w:r>
    </w:p>
    <w:p w14:paraId="359FD5BB" w14:textId="14524A4A" w:rsidR="00A57F6C" w:rsidRDefault="00F75DED" w:rsidP="00AC6419">
      <w:pPr>
        <w:suppressAutoHyphens/>
        <w:spacing w:after="0" w:line="240" w:lineRule="auto"/>
        <w:ind w:firstLine="720"/>
        <w:jc w:val="center"/>
        <w:rPr>
          <w:rFonts w:ascii="Times New Roman" w:eastAsia="Calibri" w:hAnsi="Times New Roman" w:cs="Times New Roman"/>
          <w:b/>
          <w:sz w:val="144"/>
          <w:szCs w:val="144"/>
        </w:rPr>
      </w:pPr>
      <w:proofErr w:type="spellStart"/>
      <w:r>
        <w:rPr>
          <w:rFonts w:ascii="Times New Roman" w:eastAsia="Calibri" w:hAnsi="Times New Roman" w:cs="Times New Roman"/>
          <w:b/>
          <w:sz w:val="144"/>
          <w:szCs w:val="144"/>
        </w:rPr>
        <w:lastRenderedPageBreak/>
        <w:t>Exh</w:t>
      </w:r>
      <w:proofErr w:type="spellEnd"/>
      <w:r>
        <w:rPr>
          <w:rFonts w:ascii="Times New Roman" w:eastAsia="Calibri" w:hAnsi="Times New Roman" w:cs="Times New Roman"/>
          <w:b/>
          <w:sz w:val="144"/>
          <w:szCs w:val="144"/>
        </w:rPr>
        <w:t>. No. 5</w:t>
      </w:r>
    </w:p>
    <w:p w14:paraId="33F8C7A2" w14:textId="77777777" w:rsidR="00A57F6C" w:rsidRDefault="00A57F6C">
      <w:pPr>
        <w:rPr>
          <w:rFonts w:ascii="Times New Roman" w:eastAsia="Calibri" w:hAnsi="Times New Roman" w:cs="Times New Roman"/>
          <w:b/>
          <w:sz w:val="144"/>
          <w:szCs w:val="144"/>
        </w:rPr>
      </w:pPr>
      <w:r>
        <w:rPr>
          <w:rFonts w:ascii="Times New Roman" w:eastAsia="Calibri" w:hAnsi="Times New Roman" w:cs="Times New Roman"/>
          <w:b/>
          <w:sz w:val="144"/>
          <w:szCs w:val="144"/>
        </w:rPr>
        <w:br w:type="page"/>
      </w:r>
    </w:p>
    <w:p w14:paraId="443730A7" w14:textId="10E2BEAE" w:rsidR="00423F76" w:rsidRPr="00F75DED" w:rsidRDefault="00A57F6C" w:rsidP="00AC6419">
      <w:pPr>
        <w:suppressAutoHyphens/>
        <w:spacing w:after="0" w:line="240" w:lineRule="auto"/>
        <w:ind w:firstLine="720"/>
        <w:jc w:val="center"/>
        <w:rPr>
          <w:rFonts w:ascii="Times New Roman" w:eastAsia="Calibri" w:hAnsi="Times New Roman" w:cs="Times New Roman"/>
          <w:b/>
          <w:sz w:val="144"/>
          <w:szCs w:val="144"/>
        </w:rPr>
      </w:pPr>
      <w:proofErr w:type="spellStart"/>
      <w:r>
        <w:rPr>
          <w:rFonts w:ascii="Times New Roman" w:eastAsia="Calibri" w:hAnsi="Times New Roman" w:cs="Times New Roman"/>
          <w:b/>
          <w:sz w:val="144"/>
          <w:szCs w:val="144"/>
        </w:rPr>
        <w:lastRenderedPageBreak/>
        <w:t>Exh</w:t>
      </w:r>
      <w:proofErr w:type="spellEnd"/>
      <w:r>
        <w:rPr>
          <w:rFonts w:ascii="Times New Roman" w:eastAsia="Calibri" w:hAnsi="Times New Roman" w:cs="Times New Roman"/>
          <w:b/>
          <w:sz w:val="144"/>
          <w:szCs w:val="144"/>
        </w:rPr>
        <w:t>. No. 6</w:t>
      </w:r>
    </w:p>
    <w:p w14:paraId="3A33BA85" w14:textId="77777777" w:rsidR="00423F76" w:rsidRPr="00FC3887" w:rsidRDefault="00423F76" w:rsidP="00423F76">
      <w:pPr>
        <w:autoSpaceDE w:val="0"/>
        <w:autoSpaceDN w:val="0"/>
        <w:adjustRightInd w:val="0"/>
        <w:spacing w:after="0" w:line="480" w:lineRule="auto"/>
        <w:ind w:firstLine="720"/>
        <w:jc w:val="both"/>
        <w:rPr>
          <w:rFonts w:ascii="Times New Roman" w:eastAsia="Times New Roman" w:hAnsi="Times New Roman" w:cs="Times New Roman"/>
          <w:sz w:val="24"/>
          <w:szCs w:val="24"/>
        </w:rPr>
      </w:pPr>
    </w:p>
    <w:bookmarkEnd w:id="1"/>
    <w:p w14:paraId="0473B4F6" w14:textId="7E7AD944" w:rsidR="001F3C01" w:rsidRPr="00FC3887" w:rsidRDefault="001F3C01" w:rsidP="001F3C01">
      <w:pPr>
        <w:spacing w:after="0" w:line="480" w:lineRule="auto"/>
        <w:rPr>
          <w:rFonts w:eastAsia="Calibri"/>
          <w:sz w:val="24"/>
          <w:szCs w:val="24"/>
        </w:rPr>
      </w:pPr>
    </w:p>
    <w:p w14:paraId="35A3F2E4" w14:textId="77777777" w:rsidR="00423F76" w:rsidRPr="00FC3887" w:rsidRDefault="00423F76" w:rsidP="001F3C01">
      <w:pPr>
        <w:rPr>
          <w:rFonts w:ascii="Times New Roman" w:hAnsi="Times New Roman"/>
          <w:bCs/>
          <w:sz w:val="24"/>
          <w:szCs w:val="24"/>
        </w:rPr>
      </w:pPr>
    </w:p>
    <w:p w14:paraId="2C74F970" w14:textId="77777777" w:rsidR="00423F76" w:rsidRPr="00FC3887" w:rsidRDefault="00423F76" w:rsidP="001F3C01">
      <w:pPr>
        <w:rPr>
          <w:rFonts w:ascii="Times New Roman" w:hAnsi="Times New Roman"/>
          <w:bCs/>
          <w:sz w:val="24"/>
          <w:szCs w:val="24"/>
        </w:rPr>
      </w:pPr>
    </w:p>
    <w:sectPr w:rsidR="00423F76" w:rsidRPr="00FC3887" w:rsidSect="005F39E8">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2116" w14:textId="77777777" w:rsidR="00B3454F" w:rsidRDefault="00B3454F" w:rsidP="00756075">
      <w:pPr>
        <w:spacing w:after="0" w:line="240" w:lineRule="auto"/>
      </w:pPr>
      <w:r>
        <w:separator/>
      </w:r>
    </w:p>
  </w:endnote>
  <w:endnote w:type="continuationSeparator" w:id="0">
    <w:p w14:paraId="621C373C" w14:textId="77777777" w:rsidR="00B3454F" w:rsidRDefault="00B3454F" w:rsidP="0075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95D3" w14:textId="77777777" w:rsidR="00756075" w:rsidRDefault="00756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3394"/>
      <w:docPartObj>
        <w:docPartGallery w:val="Page Numbers (Bottom of Page)"/>
        <w:docPartUnique/>
      </w:docPartObj>
    </w:sdtPr>
    <w:sdtEndPr>
      <w:rPr>
        <w:noProof/>
      </w:rPr>
    </w:sdtEndPr>
    <w:sdtContent>
      <w:p w14:paraId="56637F17" w14:textId="66041901" w:rsidR="00756075" w:rsidRDefault="007560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588A6" w14:textId="77777777" w:rsidR="00756075" w:rsidRDefault="00756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82F2" w14:textId="77777777" w:rsidR="00756075" w:rsidRDefault="00756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E2CC" w14:textId="77777777" w:rsidR="00B3454F" w:rsidRDefault="00B3454F" w:rsidP="00756075">
      <w:pPr>
        <w:spacing w:after="0" w:line="240" w:lineRule="auto"/>
      </w:pPr>
      <w:r>
        <w:separator/>
      </w:r>
    </w:p>
  </w:footnote>
  <w:footnote w:type="continuationSeparator" w:id="0">
    <w:p w14:paraId="13E16BBB" w14:textId="77777777" w:rsidR="00B3454F" w:rsidRDefault="00B3454F" w:rsidP="00756075">
      <w:pPr>
        <w:spacing w:after="0" w:line="240" w:lineRule="auto"/>
      </w:pPr>
      <w:r>
        <w:continuationSeparator/>
      </w:r>
    </w:p>
  </w:footnote>
  <w:footnote w:id="1">
    <w:p w14:paraId="74087F0A" w14:textId="5F3AC679" w:rsidR="00F23709" w:rsidRPr="00572D51" w:rsidRDefault="00F23709" w:rsidP="00F23709">
      <w:pPr>
        <w:pStyle w:val="FootnoteText"/>
        <w:rPr>
          <w:rFonts w:ascii="Times New Roman" w:hAnsi="Times New Roman" w:cs="Times New Roman"/>
        </w:rPr>
      </w:pPr>
      <w:r>
        <w:rPr>
          <w:rFonts w:ascii="Times New Roman" w:hAnsi="Times New Roman" w:cs="Times New Roman"/>
        </w:rPr>
        <w:t xml:space="preserve">3 </w:t>
      </w:r>
      <w:r w:rsidR="00F73D54">
        <w:rPr>
          <w:rFonts w:ascii="Times New Roman" w:hAnsi="Times New Roman" w:cs="Times New Roman"/>
        </w:rPr>
        <w:t xml:space="preserve">See, </w:t>
      </w:r>
      <w:proofErr w:type="spellStart"/>
      <w:r w:rsidRPr="00572D51">
        <w:rPr>
          <w:rFonts w:ascii="Times New Roman" w:hAnsi="Times New Roman" w:cs="Times New Roman"/>
          <w:i/>
        </w:rPr>
        <w:t>Cetercorp</w:t>
      </w:r>
      <w:proofErr w:type="spellEnd"/>
      <w:r w:rsidRPr="00572D51">
        <w:rPr>
          <w:rFonts w:ascii="Times New Roman" w:hAnsi="Times New Roman" w:cs="Times New Roman"/>
          <w:i/>
        </w:rPr>
        <w:t xml:space="preserve">, Inc. v. Catering Concepts, Inc., </w:t>
      </w:r>
      <w:r w:rsidRPr="00572D51">
        <w:rPr>
          <w:rFonts w:ascii="Times New Roman" w:hAnsi="Times New Roman" w:cs="Times New Roman"/>
        </w:rPr>
        <w:t>246 Va. 22, 24, 431 S.E.2d 277, 279 (1993)</w:t>
      </w:r>
      <w:r w:rsidR="00F73D54">
        <w:rPr>
          <w:rFonts w:ascii="Times New Roman" w:hAnsi="Times New Roman" w:cs="Times New Roman"/>
        </w:rPr>
        <w:t>.</w:t>
      </w:r>
    </w:p>
  </w:footnote>
  <w:footnote w:id="2">
    <w:p w14:paraId="22B69B97" w14:textId="77777777" w:rsidR="008939CB" w:rsidRDefault="008939CB" w:rsidP="008939CB">
      <w:pPr>
        <w:pStyle w:val="FootnoteText"/>
      </w:pPr>
      <w:r>
        <w:rPr>
          <w:rStyle w:val="FootnoteReference"/>
        </w:rPr>
        <w:footnoteRef/>
      </w:r>
      <w:r>
        <w:t xml:space="preserve"> </w:t>
      </w:r>
      <w:r w:rsidRPr="00F23709">
        <w:rPr>
          <w:rFonts w:ascii="Times New Roman" w:hAnsi="Times New Roman" w:cs="Times New Roman"/>
        </w:rPr>
        <w:t>Defendants made the same argument in their initial demurrer, arguing that if “[p]</w:t>
      </w:r>
      <w:proofErr w:type="spellStart"/>
      <w:r w:rsidRPr="00F23709">
        <w:rPr>
          <w:rFonts w:ascii="Times New Roman" w:hAnsi="Times New Roman" w:cs="Times New Roman"/>
        </w:rPr>
        <w:t>laintiff’s</w:t>
      </w:r>
      <w:proofErr w:type="spellEnd"/>
      <w:r w:rsidRPr="00F23709">
        <w:rPr>
          <w:rFonts w:ascii="Times New Roman" w:hAnsi="Times New Roman" w:cs="Times New Roman"/>
        </w:rPr>
        <w:t xml:space="preserve"> pleadings were sufficient to state a claim under the VCPA, it would effectively transform every malpractice case into a consumer protection claim.”  (Def’s Brief in Support of Demurrer to Plaintiff’s First Complaint, p. 9).</w:t>
      </w:r>
      <w:r>
        <w:rPr>
          <w:rFonts w:ascii="Times New Roman" w:hAnsi="Times New Roman" w:cs="Times New Roman"/>
          <w:sz w:val="24"/>
          <w:szCs w:val="24"/>
        </w:rPr>
        <w:t xml:space="preserve">  </w:t>
      </w:r>
    </w:p>
  </w:footnote>
  <w:footnote w:id="3">
    <w:p w14:paraId="28261385" w14:textId="6DE670ED" w:rsidR="00C069DA" w:rsidRPr="009A720C" w:rsidRDefault="00C069DA" w:rsidP="00C069DA">
      <w:pPr>
        <w:pStyle w:val="FootnoteText"/>
        <w:rPr>
          <w:rFonts w:ascii="Times New Roman" w:hAnsi="Times New Roman"/>
        </w:rPr>
      </w:pPr>
      <w:r w:rsidRPr="009A720C">
        <w:rPr>
          <w:rStyle w:val="FootnoteReference"/>
        </w:rPr>
        <w:footnoteRef/>
      </w:r>
      <w:r w:rsidRPr="009A720C">
        <w:rPr>
          <w:rFonts w:ascii="Times New Roman" w:hAnsi="Times New Roman"/>
        </w:rPr>
        <w:t xml:space="preserve"> Defendants do not argue that the transaction involving Plaintiff </w:t>
      </w:r>
      <w:proofErr w:type="gramStart"/>
      <w:r w:rsidR="00AC4FEB">
        <w:rPr>
          <w:rFonts w:ascii="Times New Roman" w:hAnsi="Times New Roman"/>
        </w:rPr>
        <w:t>entering into</w:t>
      </w:r>
      <w:proofErr w:type="gramEnd"/>
      <w:r w:rsidR="00AC4FEB">
        <w:rPr>
          <w:rFonts w:ascii="Times New Roman" w:hAnsi="Times New Roman"/>
        </w:rPr>
        <w:t xml:space="preserve"> a contract </w:t>
      </w:r>
      <w:r w:rsidRPr="009A720C">
        <w:rPr>
          <w:rFonts w:ascii="Times New Roman" w:hAnsi="Times New Roman"/>
        </w:rPr>
        <w:t>with</w:t>
      </w:r>
      <w:r w:rsidR="000B4BCD">
        <w:rPr>
          <w:rFonts w:ascii="Times New Roman" w:hAnsi="Times New Roman"/>
        </w:rPr>
        <w:t xml:space="preserve"> Greenspring</w:t>
      </w:r>
      <w:r w:rsidRPr="009A720C">
        <w:rPr>
          <w:rFonts w:ascii="Times New Roman" w:hAnsi="Times New Roman"/>
        </w:rPr>
        <w:t xml:space="preserve"> is not a commercial transaction under the VCPA.  </w:t>
      </w:r>
      <w:r w:rsidR="00AC4FEB">
        <w:rPr>
          <w:rFonts w:ascii="Times New Roman" w:hAnsi="Times New Roman"/>
        </w:rPr>
        <w:t>Moreover, since assisted living facilities, unlike nursing homes, are not licensed to provide skilled nursing care, their agreed upon services are more analogous to personal services</w:t>
      </w:r>
      <w:r w:rsidR="000B4BCD">
        <w:rPr>
          <w:rFonts w:ascii="Times New Roman" w:hAnsi="Times New Roman"/>
        </w:rPr>
        <w:t xml:space="preserve"> that are even further removed from the scope of traditional malpractice cases involving the provision of medical or skilled nursing services. </w:t>
      </w:r>
    </w:p>
  </w:footnote>
  <w:footnote w:id="4">
    <w:p w14:paraId="566BC935" w14:textId="29A494AB" w:rsidR="007A351A" w:rsidRPr="007A351A" w:rsidRDefault="007A351A">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w:t>
      </w:r>
      <w:r w:rsidRPr="007A351A">
        <w:rPr>
          <w:rFonts w:ascii="Times New Roman" w:hAnsi="Times New Roman" w:cs="Times New Roman"/>
          <w:i/>
          <w:iCs/>
        </w:rPr>
        <w:t>Dell v. French</w:t>
      </w:r>
      <w:r>
        <w:rPr>
          <w:rFonts w:ascii="Times New Roman" w:hAnsi="Times New Roman" w:cs="Times New Roman"/>
        </w:rPr>
        <w:t xml:space="preserve">, 38 Va. Cir. 91, 97-98 (Fairfax </w:t>
      </w:r>
      <w:proofErr w:type="gramStart"/>
      <w:r>
        <w:rPr>
          <w:rFonts w:ascii="Times New Roman" w:hAnsi="Times New Roman" w:cs="Times New Roman"/>
        </w:rPr>
        <w:t>1995)(</w:t>
      </w:r>
      <w:proofErr w:type="gramEnd"/>
      <w:r>
        <w:rPr>
          <w:rFonts w:ascii="Times New Roman" w:hAnsi="Times New Roman" w:cs="Times New Roman"/>
        </w:rPr>
        <w:t>Holding that [f]</w:t>
      </w:r>
      <w:proofErr w:type="spellStart"/>
      <w:r>
        <w:rPr>
          <w:rFonts w:ascii="Times New Roman" w:hAnsi="Times New Roman" w:cs="Times New Roman"/>
        </w:rPr>
        <w:t>raud</w:t>
      </w:r>
      <w:proofErr w:type="spellEnd"/>
      <w:r>
        <w:rPr>
          <w:rFonts w:ascii="Times New Roman" w:hAnsi="Times New Roman" w:cs="Times New Roman"/>
        </w:rPr>
        <w:t xml:space="preserve">, whether actual or constructive, to the extent it is based on purposeful misrepresentations of material facts related to a patient’s care is a separate cause of action from medical malpractice”);  </w:t>
      </w:r>
      <w:r w:rsidRPr="007A351A">
        <w:rPr>
          <w:rFonts w:ascii="Times New Roman" w:hAnsi="Times New Roman" w:cs="Times New Roman"/>
          <w:i/>
          <w:iCs/>
        </w:rPr>
        <w:t>Peterson v. Fairfax Hosp. Sys. Inc</w:t>
      </w:r>
      <w:r>
        <w:rPr>
          <w:rFonts w:ascii="Times New Roman" w:hAnsi="Times New Roman" w:cs="Times New Roman"/>
        </w:rPr>
        <w:t xml:space="preserve">., 31 Va. Cir. 50, 58 (Fairfax </w:t>
      </w:r>
      <w:proofErr w:type="gramStart"/>
      <w:r>
        <w:rPr>
          <w:rFonts w:ascii="Times New Roman" w:hAnsi="Times New Roman" w:cs="Times New Roman"/>
        </w:rPr>
        <w:t>1993)(</w:t>
      </w:r>
      <w:proofErr w:type="gramEnd"/>
      <w:r>
        <w:rPr>
          <w:rFonts w:ascii="Times New Roman" w:hAnsi="Times New Roman" w:cs="Times New Roman"/>
        </w:rPr>
        <w:t>Holding that the “Medical Malpractice Act does not operate to limit liability for making a false statement . . . even where such a statement is made in the delivery of healthcare services.”)</w:t>
      </w:r>
    </w:p>
  </w:footnote>
  <w:footnote w:id="5">
    <w:p w14:paraId="7DE5EE73" w14:textId="0FF32794" w:rsidR="00F376A1" w:rsidRDefault="00F376A1" w:rsidP="00F376A1">
      <w:pPr>
        <w:widowControl w:val="0"/>
        <w:suppressAutoHyphens/>
        <w:spacing w:after="0" w:line="240" w:lineRule="auto"/>
        <w:contextualSpacing/>
        <w:jc w:val="both"/>
      </w:pPr>
      <w:r>
        <w:rPr>
          <w:rStyle w:val="FootnoteReference"/>
        </w:rPr>
        <w:footnoteRef/>
      </w:r>
      <w:r>
        <w:t xml:space="preserve"> </w:t>
      </w:r>
      <w:r w:rsidRPr="00F376A1">
        <w:rPr>
          <w:rFonts w:ascii="Times New Roman" w:eastAsia="Calibri" w:hAnsi="Times New Roman" w:cs="Times New Roman"/>
          <w:sz w:val="20"/>
          <w:szCs w:val="20"/>
        </w:rPr>
        <w:t xml:space="preserve">A similar result was reached in </w:t>
      </w:r>
      <w:proofErr w:type="spellStart"/>
      <w:r w:rsidRPr="00F376A1">
        <w:rPr>
          <w:rFonts w:ascii="Times New Roman" w:eastAsia="Calibri" w:hAnsi="Times New Roman" w:cs="Times New Roman"/>
          <w:i/>
          <w:sz w:val="20"/>
          <w:szCs w:val="20"/>
        </w:rPr>
        <w:t>McCaulley</w:t>
      </w:r>
      <w:proofErr w:type="spellEnd"/>
      <w:r w:rsidRPr="00F376A1">
        <w:rPr>
          <w:rFonts w:ascii="Times New Roman" w:eastAsia="Calibri" w:hAnsi="Times New Roman" w:cs="Times New Roman"/>
          <w:i/>
          <w:sz w:val="20"/>
          <w:szCs w:val="20"/>
        </w:rPr>
        <w:t xml:space="preserve"> v. Purdue Pharma</w:t>
      </w:r>
      <w:r w:rsidRPr="00F376A1">
        <w:rPr>
          <w:rFonts w:ascii="Times New Roman" w:eastAsia="Calibri" w:hAnsi="Times New Roman" w:cs="Times New Roman"/>
          <w:sz w:val="20"/>
          <w:szCs w:val="20"/>
        </w:rPr>
        <w:t xml:space="preserve">, where Defendants argued that medical providers could not be covered under the VCPA.  172 F.Supp.2d 803 (W.D. Va. 2001). Despite a highly regulated pharmaceutical industry and allegations involving an actual healthcare provider, the Court found that Plaintiff had stated a valid cause of action under the VCPA.  The </w:t>
      </w:r>
      <w:proofErr w:type="spellStart"/>
      <w:r w:rsidRPr="00F376A1">
        <w:rPr>
          <w:rFonts w:ascii="Times New Roman" w:eastAsia="Calibri" w:hAnsi="Times New Roman" w:cs="Times New Roman"/>
          <w:i/>
          <w:sz w:val="20"/>
          <w:szCs w:val="20"/>
        </w:rPr>
        <w:t>McCaulley</w:t>
      </w:r>
      <w:proofErr w:type="spellEnd"/>
      <w:r w:rsidRPr="00F376A1">
        <w:rPr>
          <w:rFonts w:ascii="Times New Roman" w:eastAsia="Calibri" w:hAnsi="Times New Roman" w:cs="Times New Roman"/>
          <w:sz w:val="20"/>
          <w:szCs w:val="20"/>
        </w:rPr>
        <w:t xml:space="preserve"> Court also distinguished </w:t>
      </w:r>
      <w:r w:rsidRPr="00F376A1">
        <w:rPr>
          <w:rFonts w:ascii="Times New Roman" w:eastAsia="Calibri" w:hAnsi="Times New Roman" w:cs="Times New Roman"/>
          <w:i/>
          <w:sz w:val="20"/>
          <w:szCs w:val="20"/>
        </w:rPr>
        <w:t>Ott v. Baker</w:t>
      </w:r>
      <w:r w:rsidRPr="00F376A1">
        <w:rPr>
          <w:rFonts w:ascii="Times New Roman" w:eastAsia="Calibri" w:hAnsi="Times New Roman" w:cs="Times New Roman"/>
          <w:sz w:val="20"/>
          <w:szCs w:val="20"/>
        </w:rPr>
        <w:t xml:space="preserve">, relied upon by the defense. 53 Va. Cir. 113 (Norfolk, 2000). </w:t>
      </w:r>
      <w:r w:rsidRPr="00F376A1">
        <w:rPr>
          <w:rFonts w:ascii="Times New Roman" w:eastAsia="Calibri" w:hAnsi="Times New Roman" w:cs="Times New Roman"/>
          <w:i/>
          <w:sz w:val="20"/>
          <w:szCs w:val="20"/>
        </w:rPr>
        <w:t xml:space="preserve"> Ott </w:t>
      </w:r>
      <w:r w:rsidRPr="00F376A1">
        <w:rPr>
          <w:rFonts w:ascii="Times New Roman" w:eastAsia="Calibri" w:hAnsi="Times New Roman" w:cs="Times New Roman"/>
          <w:sz w:val="20"/>
          <w:szCs w:val="20"/>
        </w:rPr>
        <w:t xml:space="preserve">addressed the licensing of a hospital and legality of an abortion, both of which were governed by other Virginia laws.  The Court noted that in contrast to the facts in </w:t>
      </w:r>
      <w:r w:rsidRPr="00F376A1">
        <w:rPr>
          <w:rFonts w:ascii="Times New Roman" w:eastAsia="Calibri" w:hAnsi="Times New Roman" w:cs="Times New Roman"/>
          <w:i/>
          <w:iCs/>
          <w:sz w:val="20"/>
          <w:szCs w:val="20"/>
        </w:rPr>
        <w:t>Ott</w:t>
      </w:r>
      <w:r w:rsidRPr="00F376A1">
        <w:rPr>
          <w:rFonts w:ascii="Times New Roman" w:eastAsia="Calibri" w:hAnsi="Times New Roman" w:cs="Times New Roman"/>
          <w:sz w:val="20"/>
          <w:szCs w:val="20"/>
        </w:rPr>
        <w:t xml:space="preserve">, there was no Virginia law authorizing physicians to make misleading misrepresentations about prescribed drugs and as such, these claims were not excluded from VCPA coverage.  See also, </w:t>
      </w:r>
      <w:r w:rsidRPr="00F376A1">
        <w:rPr>
          <w:rFonts w:ascii="Times New Roman" w:eastAsia="Calibri" w:hAnsi="Times New Roman" w:cs="Times New Roman"/>
          <w:i/>
          <w:sz w:val="20"/>
          <w:szCs w:val="20"/>
        </w:rPr>
        <w:t>Corrales v. HHC Poplar Springs, Inc</w:t>
      </w:r>
      <w:r w:rsidRPr="00F376A1">
        <w:rPr>
          <w:rFonts w:ascii="Times New Roman" w:eastAsia="Calibri" w:hAnsi="Times New Roman" w:cs="Times New Roman"/>
          <w:sz w:val="20"/>
          <w:szCs w:val="20"/>
        </w:rPr>
        <w:t xml:space="preserve">, Judge </w:t>
      </w:r>
      <w:proofErr w:type="spellStart"/>
      <w:r w:rsidRPr="00F376A1">
        <w:rPr>
          <w:rFonts w:ascii="Times New Roman" w:eastAsia="Calibri" w:hAnsi="Times New Roman" w:cs="Times New Roman"/>
          <w:sz w:val="20"/>
          <w:szCs w:val="20"/>
        </w:rPr>
        <w:t>Teefey</w:t>
      </w:r>
      <w:proofErr w:type="spellEnd"/>
      <w:r w:rsidRPr="00F376A1">
        <w:rPr>
          <w:rFonts w:ascii="Times New Roman" w:eastAsia="Calibri" w:hAnsi="Times New Roman" w:cs="Times New Roman"/>
          <w:sz w:val="20"/>
          <w:szCs w:val="20"/>
        </w:rPr>
        <w:t xml:space="preserve"> in Petersburg overruled Defendant’s Demurrer where Plaintiff had alleged consumer protection violations involving safety and risk management at a mental health facility.  Law No. CL 15000378 (Cir. Ct. Peterburg, </w:t>
      </w:r>
      <w:proofErr w:type="gramStart"/>
      <w:r w:rsidRPr="00F376A1">
        <w:rPr>
          <w:rFonts w:ascii="Times New Roman" w:eastAsia="Calibri" w:hAnsi="Times New Roman" w:cs="Times New Roman"/>
          <w:sz w:val="20"/>
          <w:szCs w:val="20"/>
        </w:rPr>
        <w:t>2015)(</w:t>
      </w:r>
      <w:proofErr w:type="spellStart"/>
      <w:proofErr w:type="gramEnd"/>
      <w:r w:rsidRPr="00F376A1">
        <w:rPr>
          <w:rFonts w:ascii="Times New Roman" w:eastAsia="Calibri" w:hAnsi="Times New Roman" w:cs="Times New Roman"/>
          <w:sz w:val="20"/>
          <w:szCs w:val="20"/>
        </w:rPr>
        <w:t>Exh</w:t>
      </w:r>
      <w:proofErr w:type="spellEnd"/>
      <w:r w:rsidRPr="00F376A1">
        <w:rPr>
          <w:rFonts w:ascii="Times New Roman" w:eastAsia="Calibri" w:hAnsi="Times New Roman" w:cs="Times New Roman"/>
          <w:sz w:val="20"/>
          <w:szCs w:val="20"/>
        </w:rPr>
        <w:t xml:space="preserve">. No. </w:t>
      </w:r>
      <w:r>
        <w:rPr>
          <w:rFonts w:ascii="Times New Roman" w:eastAsia="Calibri" w:hAnsi="Times New Roman" w:cs="Times New Roman"/>
          <w:sz w:val="20"/>
          <w:szCs w:val="20"/>
        </w:rPr>
        <w:t>3</w:t>
      </w:r>
      <w:r w:rsidRPr="00F376A1">
        <w:rPr>
          <w:rFonts w:ascii="Times New Roman" w:eastAsia="Calibri" w:hAnsi="Times New Roman" w:cs="Times New Roman"/>
          <w:sz w:val="20"/>
          <w:szCs w:val="20"/>
        </w:rPr>
        <w:t xml:space="preserve">).  The Court expressly rejected the argument that claim was preempted by Virginia’s medical malpractice act. </w:t>
      </w:r>
      <w:r w:rsidRPr="00593268">
        <w:rPr>
          <w:rFonts w:ascii="Times New Roman" w:eastAsia="Calibri" w:hAnsi="Times New Roman" w:cs="Times New Roman"/>
          <w:iCs/>
          <w:sz w:val="20"/>
          <w:szCs w:val="20"/>
        </w:rPr>
        <w:t>Id.</w:t>
      </w:r>
      <w:r w:rsidRPr="00F376A1">
        <w:rPr>
          <w:rFonts w:ascii="Times New Roman" w:eastAsia="Calibri" w:hAnsi="Times New Roman" w:cs="Times New Roman"/>
          <w:sz w:val="20"/>
          <w:szCs w:val="20"/>
        </w:rPr>
        <w:t xml:space="preserve"> at p. 5. </w:t>
      </w:r>
    </w:p>
  </w:footnote>
  <w:footnote w:id="6">
    <w:p w14:paraId="186BD4AB" w14:textId="21F29219" w:rsidR="005E5062" w:rsidRPr="00D95349" w:rsidRDefault="005E5062">
      <w:pPr>
        <w:pStyle w:val="FootnoteText"/>
        <w:rPr>
          <w:rFonts w:ascii="Times New Roman" w:hAnsi="Times New Roman" w:cs="Times New Roman"/>
        </w:rPr>
      </w:pPr>
      <w:r w:rsidRPr="00D95349">
        <w:rPr>
          <w:rStyle w:val="FootnoteReference"/>
          <w:rFonts w:cs="Times New Roman"/>
        </w:rPr>
        <w:footnoteRef/>
      </w:r>
      <w:r w:rsidRPr="00D95349">
        <w:rPr>
          <w:rFonts w:ascii="Times New Roman" w:hAnsi="Times New Roman" w:cs="Times New Roman"/>
        </w:rPr>
        <w:t xml:space="preserve">.  </w:t>
      </w:r>
      <w:r w:rsidR="00D95349" w:rsidRPr="00D95349">
        <w:rPr>
          <w:rFonts w:ascii="Times New Roman" w:hAnsi="Times New Roman" w:cs="Times New Roman"/>
        </w:rPr>
        <w:t xml:space="preserve">Unlike the statutes in </w:t>
      </w:r>
      <w:r w:rsidR="00D95349" w:rsidRPr="00D95349">
        <w:rPr>
          <w:rFonts w:ascii="Times New Roman" w:hAnsi="Times New Roman" w:cs="Times New Roman"/>
          <w:i/>
          <w:iCs/>
        </w:rPr>
        <w:t xml:space="preserve">Bandy v. </w:t>
      </w:r>
      <w:proofErr w:type="spellStart"/>
      <w:r w:rsidR="00593268">
        <w:rPr>
          <w:rFonts w:ascii="Times New Roman" w:hAnsi="Times New Roman" w:cs="Times New Roman"/>
          <w:i/>
          <w:iCs/>
        </w:rPr>
        <w:t>Baig</w:t>
      </w:r>
      <w:proofErr w:type="spellEnd"/>
      <w:r w:rsidR="00593268">
        <w:rPr>
          <w:rFonts w:ascii="Times New Roman" w:hAnsi="Times New Roman" w:cs="Times New Roman"/>
          <w:i/>
          <w:iCs/>
        </w:rPr>
        <w:t xml:space="preserve">, </w:t>
      </w:r>
      <w:r w:rsidR="00593268">
        <w:rPr>
          <w:rFonts w:ascii="Times New Roman" w:hAnsi="Times New Roman" w:cs="Times New Roman"/>
        </w:rPr>
        <w:t>(</w:t>
      </w:r>
      <w:proofErr w:type="spellStart"/>
      <w:r w:rsidR="00593268">
        <w:rPr>
          <w:rFonts w:ascii="Times New Roman" w:hAnsi="Times New Roman" w:cs="Times New Roman"/>
        </w:rPr>
        <w:t>Exh</w:t>
      </w:r>
      <w:proofErr w:type="spellEnd"/>
      <w:r w:rsidR="00593268">
        <w:rPr>
          <w:rFonts w:ascii="Times New Roman" w:hAnsi="Times New Roman" w:cs="Times New Roman"/>
        </w:rPr>
        <w:t>. No. 3 to defendant’s brief)</w:t>
      </w:r>
      <w:r w:rsidR="00DA7D5B">
        <w:rPr>
          <w:rFonts w:ascii="Times New Roman" w:hAnsi="Times New Roman" w:cs="Times New Roman"/>
          <w:i/>
          <w:iCs/>
        </w:rPr>
        <w:t xml:space="preserve"> </w:t>
      </w:r>
      <w:r w:rsidR="00D95349" w:rsidRPr="00D95349">
        <w:rPr>
          <w:rFonts w:ascii="Times New Roman" w:hAnsi="Times New Roman" w:cs="Times New Roman"/>
        </w:rPr>
        <w:t xml:space="preserve">that specifically addressed false or misleading advertising for physicians, </w:t>
      </w:r>
      <w:r w:rsidRPr="00D95349">
        <w:rPr>
          <w:rFonts w:ascii="Times New Roman" w:hAnsi="Times New Roman" w:cs="Times New Roman"/>
        </w:rPr>
        <w:t>Va. Code §6</w:t>
      </w:r>
      <w:r w:rsidR="00D95349">
        <w:rPr>
          <w:rFonts w:ascii="Times New Roman" w:hAnsi="Times New Roman" w:cs="Times New Roman"/>
        </w:rPr>
        <w:t xml:space="preserve">3.2-1700 </w:t>
      </w:r>
      <w:r w:rsidR="00D95349" w:rsidRPr="00DA7D5B">
        <w:rPr>
          <w:rFonts w:ascii="Times New Roman" w:hAnsi="Times New Roman" w:cs="Times New Roman"/>
          <w:i/>
          <w:iCs/>
        </w:rPr>
        <w:t>et seq</w:t>
      </w:r>
      <w:r w:rsidR="007A515F">
        <w:rPr>
          <w:rFonts w:ascii="Times New Roman" w:hAnsi="Times New Roman" w:cs="Times New Roman"/>
        </w:rPr>
        <w:t xml:space="preserve">, as cited by Defendants in support of preemption, </w:t>
      </w:r>
      <w:r w:rsidR="00D95349">
        <w:rPr>
          <w:rFonts w:ascii="Times New Roman" w:hAnsi="Times New Roman" w:cs="Times New Roman"/>
        </w:rPr>
        <w:t>is silent on this issue.  Similarly, the assisted living regulations that Defendants argue are irrelevant to standards of care</w:t>
      </w:r>
      <w:r w:rsidR="004D49A1">
        <w:rPr>
          <w:rFonts w:ascii="Times New Roman" w:hAnsi="Times New Roman" w:cs="Times New Roman"/>
        </w:rPr>
        <w:t xml:space="preserve">,  do not specifically address false or misleading disclosures. 22 VAC 40-73-50 does reference certain disclosure requirements regarding information to be provided to prospective </w:t>
      </w:r>
      <w:r w:rsidR="00426BF9">
        <w:rPr>
          <w:rFonts w:ascii="Times New Roman" w:hAnsi="Times New Roman" w:cs="Times New Roman"/>
        </w:rPr>
        <w:t>residents but</w:t>
      </w:r>
      <w:r w:rsidR="004D49A1">
        <w:rPr>
          <w:rFonts w:ascii="Times New Roman" w:hAnsi="Times New Roman" w:cs="Times New Roman"/>
        </w:rPr>
        <w:t xml:space="preserve"> does not address false or misleading disclosures.    </w:t>
      </w:r>
    </w:p>
  </w:footnote>
  <w:footnote w:id="7">
    <w:p w14:paraId="24039622" w14:textId="77777777" w:rsidR="005F39E8" w:rsidRPr="00C069DA" w:rsidRDefault="005F39E8" w:rsidP="005F39E8">
      <w:pPr>
        <w:pStyle w:val="ListParagraph"/>
        <w:widowControl w:val="0"/>
        <w:suppressAutoHyphens/>
        <w:spacing w:after="0" w:line="240" w:lineRule="auto"/>
        <w:ind w:left="0"/>
        <w:jc w:val="both"/>
        <w:rPr>
          <w:rFonts w:ascii="Times New Roman" w:eastAsia="Calibri" w:hAnsi="Times New Roman" w:cs="Times New Roman"/>
          <w:sz w:val="24"/>
          <w:szCs w:val="24"/>
        </w:rPr>
      </w:pPr>
      <w:r>
        <w:rPr>
          <w:rStyle w:val="FootnoteReference"/>
        </w:rPr>
        <w:footnoteRef/>
      </w:r>
      <w:r>
        <w:t xml:space="preserve"> </w:t>
      </w:r>
      <w:r w:rsidRPr="005F39E8">
        <w:rPr>
          <w:rFonts w:ascii="Times New Roman" w:eastAsia="Calibri" w:hAnsi="Times New Roman" w:cs="Times New Roman"/>
          <w:sz w:val="20"/>
          <w:szCs w:val="20"/>
        </w:rPr>
        <w:t>Here, Plaintiff has identified an expert administrator to opine on breaches in care which are clearly outside the scope of the Virginia Malpractice Act.</w:t>
      </w:r>
      <w:r>
        <w:rPr>
          <w:rFonts w:ascii="Times New Roman" w:eastAsia="Calibri" w:hAnsi="Times New Roman" w:cs="Times New Roman"/>
          <w:sz w:val="24"/>
          <w:szCs w:val="24"/>
        </w:rPr>
        <w:t xml:space="preserve"> </w:t>
      </w:r>
    </w:p>
    <w:p w14:paraId="7EA42954" w14:textId="38A35644" w:rsidR="005F39E8" w:rsidRDefault="005F39E8">
      <w:pPr>
        <w:pStyle w:val="FootnoteText"/>
      </w:pPr>
    </w:p>
  </w:footnote>
  <w:footnote w:id="8">
    <w:p w14:paraId="6596561C" w14:textId="6D756C72" w:rsidR="000100CE" w:rsidRPr="000100CE" w:rsidRDefault="000100C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 </w:t>
      </w:r>
      <w:r w:rsidRPr="000100CE">
        <w:rPr>
          <w:rFonts w:ascii="Times New Roman" w:hAnsi="Times New Roman" w:cs="Times New Roman"/>
          <w:i/>
          <w:iCs/>
        </w:rPr>
        <w:t>Crouse</w:t>
      </w:r>
      <w:r>
        <w:rPr>
          <w:rFonts w:ascii="Times New Roman" w:hAnsi="Times New Roman" w:cs="Times New Roman"/>
          <w:i/>
          <w:iCs/>
        </w:rPr>
        <w:t>,</w:t>
      </w:r>
      <w:r>
        <w:rPr>
          <w:rFonts w:ascii="Times New Roman" w:hAnsi="Times New Roman" w:cs="Times New Roman"/>
        </w:rPr>
        <w:t xml:space="preserve"> the violations that put the nursing home chain on notice were in different facilities within their chain.  Here, the prior violations  involved the same facility, rendering them even more probative on the issue of notice. </w:t>
      </w:r>
    </w:p>
  </w:footnote>
  <w:footnote w:id="9">
    <w:p w14:paraId="060EF981" w14:textId="77777777" w:rsidR="00C521C3" w:rsidRPr="001E23D1" w:rsidRDefault="00C521C3" w:rsidP="00C521C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Amended Complaint added the fact that the nurse who did the incident report candidly admitted that the purpose of the report was to document what </w:t>
      </w:r>
      <w:proofErr w:type="gramStart"/>
      <w:r>
        <w:rPr>
          <w:rFonts w:ascii="Times New Roman" w:hAnsi="Times New Roman" w:cs="Times New Roman"/>
        </w:rPr>
        <w:t>actually happened</w:t>
      </w:r>
      <w:proofErr w:type="gramEnd"/>
      <w:r>
        <w:rPr>
          <w:rFonts w:ascii="Times New Roman" w:hAnsi="Times New Roman" w:cs="Times New Roman"/>
        </w:rPr>
        <w:t xml:space="preserve"> to the resident. Amended Complaint, ¶ 53. </w:t>
      </w:r>
    </w:p>
  </w:footnote>
  <w:footnote w:id="10">
    <w:p w14:paraId="078683DD" w14:textId="77777777" w:rsidR="00C521C3" w:rsidRPr="00923DC8" w:rsidRDefault="00C521C3" w:rsidP="00C521C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When the McCorkle family later reported this incident, Defendants were invested by the Department of Social Services and were cited for multiple regulatory violations regarding their neglect of Ms. McCorkle. </w:t>
      </w:r>
      <w:r w:rsidRPr="001E23D1">
        <w:rPr>
          <w:rFonts w:ascii="Times New Roman" w:hAnsi="Times New Roman" w:cs="Times New Roman"/>
          <w:i/>
          <w:iCs/>
        </w:rPr>
        <w:t>Id</w:t>
      </w:r>
      <w:r>
        <w:rPr>
          <w:rFonts w:ascii="Times New Roman" w:hAnsi="Times New Roman" w:cs="Times New Roman"/>
        </w:rPr>
        <w:t xml:space="preserve">., ¶¶ 25-29. </w:t>
      </w:r>
    </w:p>
  </w:footnote>
  <w:footnote w:id="11">
    <w:p w14:paraId="34BFD568" w14:textId="6E6B8F13" w:rsidR="00C521C3" w:rsidRPr="00C521C3" w:rsidRDefault="00C521C3">
      <w:pPr>
        <w:pStyle w:val="FootnoteText"/>
      </w:pPr>
      <w:r>
        <w:rPr>
          <w:rStyle w:val="FootnoteReference"/>
        </w:rPr>
        <w:footnoteRef/>
      </w:r>
      <w:r>
        <w:t xml:space="preserve"> </w:t>
      </w:r>
      <w:r w:rsidRPr="00C521C3">
        <w:rPr>
          <w:rFonts w:ascii="Times New Roman" w:hAnsi="Times New Roman"/>
          <w:i/>
        </w:rPr>
        <w:t xml:space="preserve">See Moskovitz v. Mt. Sinai Medical </w:t>
      </w:r>
      <w:r w:rsidRPr="00C521C3">
        <w:rPr>
          <w:rFonts w:ascii="Times New Roman" w:hAnsi="Times New Roman"/>
        </w:rPr>
        <w:t xml:space="preserve">Center, 60 Ohio St.3d 638, 651, 635 N.E.2d 331 (1994) (upholding an award of punitive damages based on the Defendant doctor’s alleged alteration and destruction of records, even where such conduct did not cause damages independent from the malpractice.  “If the act of altering and destroying records to avoid liability is to be tolerated in our society, we can think of no better way to encourage it than to hold that punitive damages are not available in this case.”); </w:t>
      </w:r>
      <w:r w:rsidRPr="00C521C3">
        <w:rPr>
          <w:rFonts w:ascii="Times New Roman" w:hAnsi="Times New Roman"/>
          <w:i/>
        </w:rPr>
        <w:t>Metcalfe v. Waters,</w:t>
      </w:r>
      <w:r w:rsidRPr="00C521C3">
        <w:rPr>
          <w:rFonts w:ascii="Times New Roman" w:hAnsi="Times New Roman"/>
        </w:rPr>
        <w:t xml:space="preserve"> 970 S.W.2d 448 (Tenn. 1998) (upholding a punitive damage award against attorney who failed to disclose to his client that his case had been dismissed and lied to his client about the status of the matter.); </w:t>
      </w:r>
      <w:r w:rsidRPr="00C521C3">
        <w:rPr>
          <w:rFonts w:ascii="Times New Roman" w:hAnsi="Times New Roman"/>
          <w:i/>
        </w:rPr>
        <w:t xml:space="preserve">Houston v. </w:t>
      </w:r>
      <w:proofErr w:type="spellStart"/>
      <w:r w:rsidRPr="00C521C3">
        <w:rPr>
          <w:rFonts w:ascii="Times New Roman" w:hAnsi="Times New Roman"/>
          <w:i/>
        </w:rPr>
        <w:t>Surrett</w:t>
      </w:r>
      <w:proofErr w:type="spellEnd"/>
      <w:r w:rsidRPr="00C521C3">
        <w:rPr>
          <w:rFonts w:ascii="Times New Roman" w:hAnsi="Times New Roman"/>
          <w:i/>
        </w:rPr>
        <w:t xml:space="preserve">, </w:t>
      </w:r>
      <w:r w:rsidRPr="00C521C3">
        <w:rPr>
          <w:rFonts w:ascii="Times New Roman" w:hAnsi="Times New Roman"/>
        </w:rPr>
        <w:t xml:space="preserve">222 </w:t>
      </w:r>
      <w:proofErr w:type="spellStart"/>
      <w:r w:rsidRPr="00C521C3">
        <w:rPr>
          <w:rFonts w:ascii="Times New Roman" w:hAnsi="Times New Roman"/>
        </w:rPr>
        <w:t>Ga.App</w:t>
      </w:r>
      <w:proofErr w:type="spellEnd"/>
      <w:r w:rsidRPr="00C521C3">
        <w:rPr>
          <w:rFonts w:ascii="Times New Roman" w:hAnsi="Times New Roman"/>
        </w:rPr>
        <w:t xml:space="preserve">. 207, 474 S.E.2d 39, 41 (1996) (finding that an attorney’s concealment and misrepresentation of matters affecting his client’s case will give rise to a claim for punitive damages.); </w:t>
      </w:r>
      <w:r w:rsidRPr="00C521C3">
        <w:rPr>
          <w:rFonts w:ascii="Times New Roman" w:hAnsi="Times New Roman"/>
          <w:i/>
        </w:rPr>
        <w:t>Nelson v. Gaunt</w:t>
      </w:r>
      <w:r w:rsidRPr="00C521C3">
        <w:rPr>
          <w:rFonts w:ascii="Times New Roman" w:hAnsi="Times New Roman"/>
        </w:rPr>
        <w:t xml:space="preserve">, 125 Cal. App.3d 623, 178 Cal. </w:t>
      </w:r>
      <w:proofErr w:type="spellStart"/>
      <w:r w:rsidRPr="00C521C3">
        <w:rPr>
          <w:rFonts w:ascii="Times New Roman" w:hAnsi="Times New Roman"/>
        </w:rPr>
        <w:t>Rptr</w:t>
      </w:r>
      <w:proofErr w:type="spellEnd"/>
      <w:r w:rsidRPr="00C521C3">
        <w:rPr>
          <w:rFonts w:ascii="Times New Roman" w:hAnsi="Times New Roman"/>
        </w:rPr>
        <w:t>. 167 (1</w:t>
      </w:r>
      <w:r w:rsidRPr="00C521C3">
        <w:rPr>
          <w:rFonts w:ascii="Times New Roman" w:hAnsi="Times New Roman"/>
          <w:vertAlign w:val="superscript"/>
        </w:rPr>
        <w:t>st</w:t>
      </w:r>
      <w:r w:rsidRPr="00C521C3">
        <w:rPr>
          <w:rFonts w:ascii="Times New Roman" w:hAnsi="Times New Roman"/>
        </w:rPr>
        <w:t xml:space="preserve"> Dist. 1981) (upholding award of punitive damages against a physician who fraudulently misrepresented the risks and side effects of using an inert substance for breast augmentation, without informing the patient that the substance was silicone, which was known to be unsafe when injected into human tissue).   </w:t>
      </w:r>
    </w:p>
  </w:footnote>
  <w:footnote w:id="12">
    <w:p w14:paraId="1B7D5DC5" w14:textId="77777777" w:rsidR="0079167A" w:rsidRPr="004349FE" w:rsidRDefault="0079167A" w:rsidP="0079167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 Paragraphs 63 and 64 Plaintiff alleges multiple facts giving rise to ratification including the following: (1) that Defendants’ management staff knew that Garden Ridge was not suited for residents with high acuity , yet intentionally admitted such residents, who were beyond their care abilities, to generate increased profits; (2) that Defendants ratified their employee’s conduct by condoning it and by failing to correct repeated instances of neglect in ways that were substantially similar to Plaintiff’s alleged neglect (as outlined in prior deficiencies  summarized in ¶¶ 58 – 63); (3) that Defendants ratified the acts of their employees by intentionally and/or recklessly staffing its facility without a sufficient number of properly trained staff; (4) that they ratified the conduct of their employees by participating in the cover up by failing to report this incident to their licensing authority, by destroying relevant staffing records and 24 hour report and by </w:t>
      </w:r>
      <w:r w:rsidRPr="00BB662F">
        <w:rPr>
          <w:rFonts w:ascii="Times New Roman" w:hAnsi="Times New Roman" w:cs="Times New Roman"/>
          <w:b/>
          <w:bCs/>
        </w:rPr>
        <w:t>condoning corporate practices</w:t>
      </w:r>
      <w:r>
        <w:rPr>
          <w:rFonts w:ascii="Times New Roman" w:hAnsi="Times New Roman" w:cs="Times New Roman"/>
        </w:rPr>
        <w:t xml:space="preserve"> in which incriminating information was buried in incident reports and not placed in the patient chart and (5) by attempting to conceal Plaintiff’s injuries by not documenting the manner in which such injuries were sustained and by failing to report this unusual event to their licensing authority.  </w:t>
      </w:r>
    </w:p>
  </w:footnote>
  <w:footnote w:id="13">
    <w:p w14:paraId="2A36FEF8" w14:textId="42B09ABB" w:rsidR="0002337E" w:rsidRDefault="0002337E">
      <w:pPr>
        <w:pStyle w:val="FootnoteText"/>
      </w:pPr>
      <w:r>
        <w:rPr>
          <w:rStyle w:val="FootnoteReference"/>
        </w:rPr>
        <w:footnoteRef/>
      </w:r>
      <w:r>
        <w:t xml:space="preserve"> </w:t>
      </w:r>
      <w:r w:rsidRPr="0002337E">
        <w:rPr>
          <w:rFonts w:ascii="Times New Roman" w:hAnsi="Times New Roman" w:cs="Times New Roman"/>
        </w:rPr>
        <w:t xml:space="preserve">Assisted Living regulations require that the </w:t>
      </w:r>
      <w:r>
        <w:rPr>
          <w:rFonts w:ascii="Times New Roman" w:hAnsi="Times New Roman" w:cs="Times New Roman"/>
        </w:rPr>
        <w:t xml:space="preserve">service care planning of a resident be </w:t>
      </w:r>
      <w:proofErr w:type="gramStart"/>
      <w:r>
        <w:rPr>
          <w:rFonts w:ascii="Times New Roman" w:hAnsi="Times New Roman" w:cs="Times New Roman"/>
        </w:rPr>
        <w:t>actually completed</w:t>
      </w:r>
      <w:proofErr w:type="gramEnd"/>
      <w:r>
        <w:rPr>
          <w:rFonts w:ascii="Times New Roman" w:hAnsi="Times New Roman" w:cs="Times New Roman"/>
        </w:rPr>
        <w:t xml:space="preserve"> by the Administrator or his or her designee 22 VAC 40-73-450</w:t>
      </w:r>
    </w:p>
  </w:footnote>
  <w:footnote w:id="14">
    <w:p w14:paraId="30411E27" w14:textId="1F4F2D45" w:rsidR="004227D7" w:rsidRPr="004227D7" w:rsidRDefault="004227D7">
      <w:pPr>
        <w:pStyle w:val="FootnoteText"/>
        <w:rPr>
          <w:rFonts w:ascii="Times New Roman" w:hAnsi="Times New Roman" w:cs="Times New Roman"/>
        </w:rPr>
      </w:pPr>
      <w:r>
        <w:rPr>
          <w:rStyle w:val="FootnoteReference"/>
        </w:rPr>
        <w:footnoteRef/>
      </w:r>
      <w:r>
        <w:t xml:space="preserve"> </w:t>
      </w:r>
      <w:r w:rsidRPr="004227D7">
        <w:rPr>
          <w:rFonts w:ascii="Times New Roman" w:hAnsi="Times New Roman" w:cs="Times New Roman"/>
        </w:rPr>
        <w:t xml:space="preserve">The Supreme Court has </w:t>
      </w:r>
      <w:r>
        <w:rPr>
          <w:rFonts w:ascii="Times New Roman" w:hAnsi="Times New Roman" w:cs="Times New Roman"/>
        </w:rPr>
        <w:t xml:space="preserve">also </w:t>
      </w:r>
      <w:r w:rsidRPr="004227D7">
        <w:rPr>
          <w:rFonts w:ascii="Times New Roman" w:hAnsi="Times New Roman" w:cs="Times New Roman"/>
        </w:rPr>
        <w:t>made it clear that ratification will be present where the principal participated in</w:t>
      </w:r>
      <w:r w:rsidR="00E074FC">
        <w:rPr>
          <w:rFonts w:ascii="Times New Roman" w:hAnsi="Times New Roman" w:cs="Times New Roman"/>
        </w:rPr>
        <w:t xml:space="preserve">, </w:t>
      </w:r>
      <w:proofErr w:type="gramStart"/>
      <w:r w:rsidR="00E074FC">
        <w:rPr>
          <w:rFonts w:ascii="Times New Roman" w:hAnsi="Times New Roman" w:cs="Times New Roman"/>
        </w:rPr>
        <w:t>authorized</w:t>
      </w:r>
      <w:proofErr w:type="gramEnd"/>
      <w:r w:rsidR="00E074FC">
        <w:rPr>
          <w:rFonts w:ascii="Times New Roman" w:hAnsi="Times New Roman" w:cs="Times New Roman"/>
        </w:rPr>
        <w:t xml:space="preserve"> or ratified</w:t>
      </w:r>
      <w:r w:rsidRPr="004227D7">
        <w:rPr>
          <w:rFonts w:ascii="Times New Roman" w:hAnsi="Times New Roman" w:cs="Times New Roman"/>
        </w:rPr>
        <w:t xml:space="preserve"> the wrongful conduct</w:t>
      </w:r>
      <w:r w:rsidRPr="004227D7">
        <w:rPr>
          <w:rFonts w:ascii="Times New Roman" w:hAnsi="Times New Roman" w:cs="Times New Roman"/>
          <w:i/>
          <w:iCs/>
        </w:rPr>
        <w:t>. Hogg v. Plant</w:t>
      </w:r>
      <w:r w:rsidRPr="004227D7">
        <w:rPr>
          <w:rFonts w:ascii="Times New Roman" w:hAnsi="Times New Roman" w:cs="Times New Roman"/>
        </w:rPr>
        <w:t xml:space="preserve">, 145 Va. </w:t>
      </w:r>
      <w:proofErr w:type="gramStart"/>
      <w:r w:rsidRPr="004227D7">
        <w:rPr>
          <w:rFonts w:ascii="Times New Roman" w:hAnsi="Times New Roman" w:cs="Times New Roman"/>
        </w:rPr>
        <w:t>175,  133</w:t>
      </w:r>
      <w:proofErr w:type="gramEnd"/>
      <w:r w:rsidRPr="004227D7">
        <w:rPr>
          <w:rFonts w:ascii="Times New Roman" w:hAnsi="Times New Roman" w:cs="Times New Roman"/>
        </w:rPr>
        <w:t xml:space="preserve"> S.E. 759</w:t>
      </w:r>
      <w:r w:rsidR="00E074FC">
        <w:rPr>
          <w:rFonts w:ascii="Times New Roman" w:hAnsi="Times New Roman" w:cs="Times New Roman"/>
        </w:rPr>
        <w:t xml:space="preserve"> (1926). </w:t>
      </w:r>
    </w:p>
  </w:footnote>
  <w:footnote w:id="15">
    <w:p w14:paraId="0C5A7963" w14:textId="75B0BB76" w:rsidR="00DF1DF2" w:rsidRPr="00DF1DF2" w:rsidRDefault="00DF1DF2" w:rsidP="00DF1DF2">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r>
        <w:rPr>
          <w:rStyle w:val="FootnoteReference"/>
        </w:rPr>
        <w:footnoteRef/>
      </w:r>
      <w:r>
        <w:t xml:space="preserve"> </w:t>
      </w:r>
      <w:r w:rsidRPr="00DF1DF2">
        <w:rPr>
          <w:rFonts w:ascii="Times New Roman" w:eastAsia="Times New Roman" w:hAnsi="Times New Roman" w:cs="Times New Roman"/>
          <w:sz w:val="20"/>
          <w:szCs w:val="20"/>
        </w:rPr>
        <w:t xml:space="preserve">Similarly, in </w:t>
      </w:r>
      <w:r w:rsidRPr="00DF1DF2">
        <w:rPr>
          <w:rFonts w:ascii="Times New Roman" w:eastAsia="Times New Roman" w:hAnsi="Times New Roman" w:cs="Times New Roman"/>
          <w:i/>
          <w:iCs/>
          <w:sz w:val="20"/>
          <w:szCs w:val="20"/>
        </w:rPr>
        <w:t>Johnson v. Shaffer</w:t>
      </w:r>
      <w:r w:rsidRPr="00DF1DF2">
        <w:rPr>
          <w:rFonts w:ascii="Times New Roman" w:eastAsia="Times New Roman" w:hAnsi="Times New Roman" w:cs="Times New Roman"/>
          <w:sz w:val="20"/>
          <w:szCs w:val="20"/>
        </w:rPr>
        <w:t>, 33 Va. Cir. 57 (Warren County 1993)</w:t>
      </w:r>
      <w:r>
        <w:rPr>
          <w:rFonts w:ascii="Times New Roman" w:eastAsia="Times New Roman" w:hAnsi="Times New Roman" w:cs="Times New Roman"/>
          <w:sz w:val="20"/>
          <w:szCs w:val="20"/>
        </w:rPr>
        <w:t>, t</w:t>
      </w:r>
      <w:r w:rsidRPr="00DF1DF2">
        <w:rPr>
          <w:rFonts w:ascii="Times New Roman" w:eastAsia="Times New Roman" w:hAnsi="Times New Roman" w:cs="Times New Roman"/>
          <w:sz w:val="20"/>
          <w:szCs w:val="20"/>
        </w:rPr>
        <w:t xml:space="preserve">he Court cited the Restatement of Torts, 2d, Damages § 786, as supporting ratification where a managerial agent authorized the doing and the manner of act or the agent was employed in a managerial capacity and was acting within the scope </w:t>
      </w:r>
      <w:proofErr w:type="gramStart"/>
      <w:r w:rsidRPr="00DF1DF2">
        <w:rPr>
          <w:rFonts w:ascii="Times New Roman" w:eastAsia="Times New Roman" w:hAnsi="Times New Roman" w:cs="Times New Roman"/>
          <w:sz w:val="20"/>
          <w:szCs w:val="20"/>
        </w:rPr>
        <w:t>of  employment</w:t>
      </w:r>
      <w:proofErr w:type="gramEnd"/>
      <w:r w:rsidRPr="00DF1DF2">
        <w:rPr>
          <w:rFonts w:ascii="Times New Roman" w:eastAsia="Times New Roman" w:hAnsi="Times New Roman" w:cs="Times New Roman"/>
          <w:sz w:val="20"/>
          <w:szCs w:val="20"/>
        </w:rPr>
        <w:t xml:space="preserve"> or the</w:t>
      </w:r>
      <w:r>
        <w:rPr>
          <w:rFonts w:ascii="Times New Roman" w:eastAsia="Times New Roman" w:hAnsi="Times New Roman" w:cs="Times New Roman"/>
          <w:sz w:val="20"/>
          <w:szCs w:val="20"/>
        </w:rPr>
        <w:t xml:space="preserve"> </w:t>
      </w:r>
      <w:r w:rsidRPr="00DF1DF2">
        <w:rPr>
          <w:rFonts w:ascii="Times New Roman" w:eastAsia="Times New Roman" w:hAnsi="Times New Roman" w:cs="Times New Roman"/>
          <w:sz w:val="20"/>
          <w:szCs w:val="20"/>
        </w:rPr>
        <w:t xml:space="preserve">managerial agent of the principal </w:t>
      </w:r>
      <w:r>
        <w:rPr>
          <w:rFonts w:ascii="Times New Roman" w:eastAsia="Times New Roman" w:hAnsi="Times New Roman" w:cs="Times New Roman"/>
          <w:sz w:val="20"/>
          <w:szCs w:val="20"/>
        </w:rPr>
        <w:t xml:space="preserve">ratified or approved </w:t>
      </w:r>
      <w:r w:rsidRPr="00DF1DF2">
        <w:rPr>
          <w:rFonts w:ascii="Times New Roman" w:eastAsia="Times New Roman" w:hAnsi="Times New Roman" w:cs="Times New Roman"/>
          <w:sz w:val="20"/>
          <w:szCs w:val="20"/>
        </w:rPr>
        <w:t>the act</w:t>
      </w:r>
      <w:r>
        <w:rPr>
          <w:rFonts w:ascii="Times New Roman" w:eastAsia="Times New Roman" w:hAnsi="Times New Roman" w:cs="Times New Roman"/>
          <w:sz w:val="20"/>
          <w:szCs w:val="20"/>
        </w:rPr>
        <w:t xml:space="preserve">. </w:t>
      </w:r>
    </w:p>
    <w:p w14:paraId="031D42CF" w14:textId="05EF8351" w:rsidR="00DF1DF2" w:rsidRDefault="00DF1DF2">
      <w:pPr>
        <w:pStyle w:val="FootnoteText"/>
      </w:pPr>
    </w:p>
  </w:footnote>
  <w:footnote w:id="16">
    <w:p w14:paraId="230199F0" w14:textId="1D926E24" w:rsidR="00682C45" w:rsidRPr="00682C45" w:rsidRDefault="00682C45">
      <w:pPr>
        <w:pStyle w:val="FootnoteText"/>
        <w:rPr>
          <w:rFonts w:ascii="Times New Roman" w:hAnsi="Times New Roman" w:cs="Times New Roman"/>
        </w:rPr>
      </w:pPr>
      <w:r>
        <w:rPr>
          <w:rStyle w:val="FootnoteReference"/>
        </w:rPr>
        <w:footnoteRef/>
      </w:r>
      <w:r>
        <w:t xml:space="preserve"> </w:t>
      </w:r>
      <w:r w:rsidRPr="00682C45">
        <w:rPr>
          <w:rFonts w:ascii="Times New Roman" w:hAnsi="Times New Roman" w:cs="Times New Roman"/>
        </w:rPr>
        <w:t xml:space="preserve">The trial court determines whether the ordinance was enacted for the public safety and whether the Plaintiff was a member of the class sought to be protected. </w:t>
      </w:r>
      <w:r>
        <w:rPr>
          <w:rFonts w:ascii="Times New Roman" w:hAnsi="Times New Roman" w:cs="Times New Roman"/>
        </w:rPr>
        <w:t xml:space="preserve">Virginia Electric &amp; Power Co. v. Savoy Constr. Co., 224 Va. 36, </w:t>
      </w:r>
      <w:r w:rsidR="00267669">
        <w:rPr>
          <w:rFonts w:ascii="Times New Roman" w:hAnsi="Times New Roman" w:cs="Times New Roman"/>
        </w:rPr>
        <w:t>45, 294 S.E.2d 811, 817 (1982).</w:t>
      </w:r>
    </w:p>
  </w:footnote>
  <w:footnote w:id="17">
    <w:p w14:paraId="006EDA1B" w14:textId="77777777" w:rsidR="004D6A2B" w:rsidRPr="004D6A2B" w:rsidRDefault="004D6A2B" w:rsidP="004D6A2B">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r>
        <w:rPr>
          <w:rStyle w:val="FootnoteReference"/>
        </w:rPr>
        <w:footnoteRef/>
      </w:r>
      <w:r>
        <w:t xml:space="preserve"> </w:t>
      </w:r>
      <w:r w:rsidRPr="004D6A2B">
        <w:rPr>
          <w:rFonts w:ascii="Times New Roman" w:eastAsia="Times New Roman" w:hAnsi="Times New Roman" w:cs="Times New Roman"/>
          <w:sz w:val="20"/>
          <w:szCs w:val="20"/>
        </w:rPr>
        <w:t xml:space="preserve">In </w:t>
      </w:r>
      <w:proofErr w:type="spellStart"/>
      <w:r w:rsidRPr="004D6A2B">
        <w:rPr>
          <w:rFonts w:ascii="Times New Roman" w:eastAsia="Times New Roman" w:hAnsi="Times New Roman" w:cs="Times New Roman"/>
          <w:i/>
          <w:iCs/>
          <w:sz w:val="20"/>
          <w:szCs w:val="20"/>
        </w:rPr>
        <w:t>Halterman</w:t>
      </w:r>
      <w:proofErr w:type="spellEnd"/>
      <w:r w:rsidRPr="004D6A2B">
        <w:rPr>
          <w:rFonts w:ascii="Times New Roman" w:eastAsia="Times New Roman" w:hAnsi="Times New Roman" w:cs="Times New Roman"/>
          <w:i/>
          <w:iCs/>
          <w:sz w:val="20"/>
          <w:szCs w:val="20"/>
        </w:rPr>
        <w:t xml:space="preserve"> v. Radisson Hotel</w:t>
      </w:r>
      <w:r w:rsidRPr="004D6A2B">
        <w:rPr>
          <w:rFonts w:ascii="Times New Roman" w:eastAsia="Times New Roman" w:hAnsi="Times New Roman" w:cs="Times New Roman"/>
          <w:sz w:val="20"/>
          <w:szCs w:val="20"/>
        </w:rPr>
        <w:t xml:space="preserve">., 259 Va. 171, 523 S.E.171 (2000) the Supreme Court considered whether a safety regulation known as the Hazard Community Standard could give rise to negligence per se claim.  While the Court decided that Plaintiff had failed to prove an actual violation of the regulation had occurred, it never suggested that the safety regulation could not support a negligence per se claim because it was not a statute.  See also, </w:t>
      </w:r>
      <w:proofErr w:type="spellStart"/>
      <w:r w:rsidRPr="004D6A2B">
        <w:rPr>
          <w:rFonts w:ascii="Times New Roman" w:eastAsia="Times New Roman" w:hAnsi="Times New Roman" w:cs="Times New Roman"/>
          <w:i/>
          <w:iCs/>
          <w:sz w:val="20"/>
          <w:szCs w:val="20"/>
        </w:rPr>
        <w:t>Marslender</w:t>
      </w:r>
      <w:proofErr w:type="spellEnd"/>
      <w:r w:rsidRPr="004D6A2B">
        <w:rPr>
          <w:rFonts w:ascii="Times New Roman" w:eastAsia="Times New Roman" w:hAnsi="Times New Roman" w:cs="Times New Roman"/>
          <w:i/>
          <w:iCs/>
          <w:sz w:val="20"/>
          <w:szCs w:val="20"/>
        </w:rPr>
        <w:t xml:space="preserve"> v. Virginia Elec. and Power Co</w:t>
      </w:r>
      <w:r w:rsidRPr="004D6A2B">
        <w:rPr>
          <w:rFonts w:ascii="Times New Roman" w:eastAsia="Times New Roman" w:hAnsi="Times New Roman" w:cs="Times New Roman"/>
          <w:sz w:val="20"/>
          <w:szCs w:val="20"/>
        </w:rPr>
        <w:t xml:space="preserve">., 37 Va. Cir. 199 (Norfolk </w:t>
      </w:r>
      <w:proofErr w:type="gramStart"/>
      <w:r w:rsidRPr="004D6A2B">
        <w:rPr>
          <w:rFonts w:ascii="Times New Roman" w:eastAsia="Times New Roman" w:hAnsi="Times New Roman" w:cs="Times New Roman"/>
          <w:sz w:val="20"/>
          <w:szCs w:val="20"/>
        </w:rPr>
        <w:t>1995)(</w:t>
      </w:r>
      <w:proofErr w:type="gramEnd"/>
      <w:r w:rsidRPr="004D6A2B">
        <w:rPr>
          <w:rFonts w:ascii="Times New Roman" w:eastAsia="Times New Roman" w:hAnsi="Times New Roman" w:cs="Times New Roman"/>
          <w:sz w:val="20"/>
          <w:szCs w:val="20"/>
        </w:rPr>
        <w:t xml:space="preserve">OSHA regulations admissible to show duty of care owed to employee injured on the job). </w:t>
      </w:r>
    </w:p>
    <w:p w14:paraId="7F8BBDFA" w14:textId="37B1E7FE" w:rsidR="004D6A2B" w:rsidRDefault="004D6A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620A" w14:textId="77777777" w:rsidR="00756075" w:rsidRDefault="00756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4D71" w14:textId="77777777" w:rsidR="00756075" w:rsidRDefault="00756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A893" w14:textId="77777777" w:rsidR="00756075" w:rsidRDefault="00756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884"/>
    <w:multiLevelType w:val="hybridMultilevel"/>
    <w:tmpl w:val="A6268590"/>
    <w:lvl w:ilvl="0" w:tplc="0FCC6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13306"/>
    <w:multiLevelType w:val="hybridMultilevel"/>
    <w:tmpl w:val="4F62E28A"/>
    <w:lvl w:ilvl="0" w:tplc="00B0D432">
      <w:start w:val="5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634A0"/>
    <w:multiLevelType w:val="hybridMultilevel"/>
    <w:tmpl w:val="ECF4DEE0"/>
    <w:lvl w:ilvl="0" w:tplc="87902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236EF"/>
    <w:multiLevelType w:val="hybridMultilevel"/>
    <w:tmpl w:val="9B50D9CC"/>
    <w:lvl w:ilvl="0" w:tplc="665408DA">
      <w:start w:val="4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53556"/>
    <w:multiLevelType w:val="hybridMultilevel"/>
    <w:tmpl w:val="EC66A822"/>
    <w:lvl w:ilvl="0" w:tplc="A57E568A">
      <w:start w:val="1"/>
      <w:numFmt w:val="lowerLetter"/>
      <w:lvlText w:val="(%1)"/>
      <w:lvlJc w:val="righ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E0627A5"/>
    <w:multiLevelType w:val="hybridMultilevel"/>
    <w:tmpl w:val="442E1C30"/>
    <w:lvl w:ilvl="0" w:tplc="C1FEC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6271A"/>
    <w:multiLevelType w:val="multilevel"/>
    <w:tmpl w:val="3820B61C"/>
    <w:lvl w:ilvl="0">
      <w:start w:val="6"/>
      <w:numFmt w:val="upperRoman"/>
      <w:pStyle w:val="HCOMPLAINTL1"/>
      <w:lvlText w:val="%1."/>
      <w:lvlJc w:val="left"/>
      <w:pPr>
        <w:tabs>
          <w:tab w:val="num" w:pos="720"/>
        </w:tabs>
        <w:ind w:left="720" w:hanging="720"/>
      </w:pPr>
      <w:rPr>
        <w:rFonts w:hint="default"/>
        <w:b/>
        <w:i w:val="0"/>
        <w:caps w:val="0"/>
        <w:strike w:val="0"/>
        <w:dstrike w:val="0"/>
        <w:u w:val="none"/>
        <w:effect w:val="none"/>
      </w:rPr>
    </w:lvl>
    <w:lvl w:ilvl="1">
      <w:start w:val="35"/>
      <w:numFmt w:val="decimal"/>
      <w:lvlRestart w:val="0"/>
      <w:pStyle w:val="HCOMPLAINTL2"/>
      <w:lvlText w:val="%2."/>
      <w:lvlJc w:val="left"/>
      <w:pPr>
        <w:tabs>
          <w:tab w:val="num" w:pos="1440"/>
        </w:tabs>
        <w:ind w:left="0" w:firstLine="720"/>
      </w:pPr>
      <w:rPr>
        <w:rFonts w:ascii="Times New Roman" w:hAnsi="Times New Roman" w:cs="Times New Roman" w:hint="default"/>
        <w:b w:val="0"/>
        <w:i w:val="0"/>
        <w:caps w:val="0"/>
        <w:strike w:val="0"/>
        <w:dstrike w:val="0"/>
        <w:sz w:val="24"/>
        <w:szCs w:val="24"/>
        <w:u w:val="none"/>
        <w:effect w:val="none"/>
      </w:rPr>
    </w:lvl>
    <w:lvl w:ilvl="2">
      <w:start w:val="1"/>
      <w:numFmt w:val="lowerLetter"/>
      <w:pStyle w:val="HCOMPLAINTL3"/>
      <w:lvlText w:val="(%3)"/>
      <w:lvlJc w:val="left"/>
      <w:pPr>
        <w:tabs>
          <w:tab w:val="num" w:pos="2160"/>
        </w:tabs>
        <w:ind w:left="2160" w:hanging="720"/>
      </w:pPr>
      <w:rPr>
        <w:rFonts w:hint="default"/>
        <w:b w:val="0"/>
        <w:i w:val="0"/>
        <w:caps w:val="0"/>
        <w:strike w:val="0"/>
        <w:dstrike w:val="0"/>
        <w:u w:val="none"/>
        <w:effect w:val="none"/>
      </w:rPr>
    </w:lvl>
    <w:lvl w:ilvl="3">
      <w:start w:val="1"/>
      <w:numFmt w:val="upperRoman"/>
      <w:pStyle w:val="HCOMPLAINTL4"/>
      <w:suff w:val="nothing"/>
      <w:lvlText w:val="COUNT %4"/>
      <w:lvlJc w:val="left"/>
      <w:pPr>
        <w:ind w:left="0" w:firstLine="0"/>
      </w:pPr>
      <w:rPr>
        <w:rFonts w:hint="default"/>
        <w:b/>
        <w:i w:val="0"/>
        <w:caps/>
        <w:smallCaps w:val="0"/>
        <w:strike w:val="0"/>
        <w:dstrike w:val="0"/>
        <w:u w:val="none"/>
        <w:effect w:val="none"/>
      </w:rPr>
    </w:lvl>
    <w:lvl w:ilvl="4">
      <w:start w:val="1"/>
      <w:numFmt w:val="upperLetter"/>
      <w:pStyle w:val="HCOMPLAINTL5"/>
      <w:lvlText w:val="%5."/>
      <w:lvlJc w:val="left"/>
      <w:pPr>
        <w:tabs>
          <w:tab w:val="num" w:pos="1440"/>
        </w:tabs>
        <w:ind w:left="0" w:firstLine="720"/>
      </w:pPr>
      <w:rPr>
        <w:rFonts w:hint="default"/>
        <w:b w:val="0"/>
        <w:i w:val="0"/>
        <w:caps w:val="0"/>
        <w:strike w:val="0"/>
        <w:dstrike w:val="0"/>
        <w:u w:val="none"/>
        <w:effect w:val="none"/>
      </w:rPr>
    </w:lvl>
    <w:lvl w:ilvl="5">
      <w:start w:val="1"/>
      <w:numFmt w:val="lowerRoman"/>
      <w:pStyle w:val="HCOMPLAINTL6"/>
      <w:lvlText w:val="%6."/>
      <w:lvlJc w:val="left"/>
      <w:pPr>
        <w:tabs>
          <w:tab w:val="num" w:pos="3600"/>
        </w:tabs>
        <w:ind w:left="3600" w:hanging="720"/>
      </w:pPr>
      <w:rPr>
        <w:rFonts w:hint="default"/>
        <w:b w:val="0"/>
        <w:i w:val="0"/>
        <w:caps w:val="0"/>
        <w:strike w:val="0"/>
        <w:dstrike w:val="0"/>
        <w:u w:val="none"/>
        <w:effect w:val="none"/>
      </w:rPr>
    </w:lvl>
    <w:lvl w:ilvl="6">
      <w:start w:val="1"/>
      <w:numFmt w:val="none"/>
      <w:lvlRestart w:val="0"/>
      <w:pStyle w:val="HCOMPLAINTL7"/>
      <w:suff w:val="nothing"/>
      <w:lvlText w:val=""/>
      <w:lvlJc w:val="left"/>
      <w:pPr>
        <w:ind w:left="0" w:firstLine="0"/>
      </w:pPr>
      <w:rPr>
        <w:rFonts w:hint="default"/>
        <w:b/>
        <w:i w:val="0"/>
        <w:caps w:val="0"/>
        <w:strike w:val="0"/>
        <w:dstrike w:val="0"/>
        <w:color w:val="auto"/>
        <w:u w:val="none"/>
        <w:effect w:val="none"/>
      </w:rPr>
    </w:lvl>
    <w:lvl w:ilvl="7">
      <w:start w:val="1"/>
      <w:numFmt w:val="bullet"/>
      <w:lvlRestart w:val="0"/>
      <w:pStyle w:val="HCOMPLAINTL8"/>
      <w:lvlText w:val="·"/>
      <w:lvlJc w:val="left"/>
      <w:pPr>
        <w:tabs>
          <w:tab w:val="num" w:pos="1440"/>
        </w:tabs>
        <w:ind w:left="1440" w:hanging="720"/>
      </w:pPr>
      <w:rPr>
        <w:rFonts w:ascii="Symbol" w:hAnsi="Symbol" w:hint="default"/>
        <w:b/>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lowerRoman"/>
      <w:lvlText w:val="%9."/>
      <w:lvlJc w:val="left"/>
      <w:pPr>
        <w:tabs>
          <w:tab w:val="num" w:pos="3600"/>
        </w:tabs>
        <w:ind w:left="3600" w:hanging="720"/>
      </w:pPr>
      <w:rPr>
        <w:rFonts w:hint="default"/>
        <w:b w:val="0"/>
        <w:i w:val="0"/>
        <w:caps w:val="0"/>
        <w:strike w:val="0"/>
        <w:dstrike w:val="0"/>
        <w:u w:val="none"/>
        <w:effect w:val="none"/>
      </w:rPr>
    </w:lvl>
  </w:abstractNum>
  <w:abstractNum w:abstractNumId="7" w15:restartNumberingAfterBreak="0">
    <w:nsid w:val="1DD40D1D"/>
    <w:multiLevelType w:val="hybridMultilevel"/>
    <w:tmpl w:val="7C761C56"/>
    <w:lvl w:ilvl="0" w:tplc="A756FA22">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14630DF"/>
    <w:multiLevelType w:val="hybridMultilevel"/>
    <w:tmpl w:val="BC5CAA94"/>
    <w:lvl w:ilvl="0" w:tplc="0340308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DBC44B3"/>
    <w:multiLevelType w:val="hybridMultilevel"/>
    <w:tmpl w:val="96500BAE"/>
    <w:lvl w:ilvl="0" w:tplc="84F29BC6">
      <w:start w:val="1"/>
      <w:numFmt w:val="upperRoman"/>
      <w:lvlText w:val="%1."/>
      <w:lvlJc w:val="left"/>
      <w:pPr>
        <w:ind w:left="1440" w:hanging="72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01172"/>
    <w:multiLevelType w:val="hybridMultilevel"/>
    <w:tmpl w:val="B8F4F768"/>
    <w:lvl w:ilvl="0" w:tplc="57F277D6">
      <w:start w:val="1"/>
      <w:numFmt w:val="upperRoman"/>
      <w:lvlText w:val="%1."/>
      <w:lvlJc w:val="left"/>
      <w:pPr>
        <w:ind w:left="1440" w:hanging="72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2619C0"/>
    <w:multiLevelType w:val="hybridMultilevel"/>
    <w:tmpl w:val="67A8397C"/>
    <w:lvl w:ilvl="0" w:tplc="149856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083B8E"/>
    <w:multiLevelType w:val="hybridMultilevel"/>
    <w:tmpl w:val="F55C8410"/>
    <w:lvl w:ilvl="0" w:tplc="E5628F2C">
      <w:start w:val="1"/>
      <w:numFmt w:val="decimal"/>
      <w:lvlText w:val="%1."/>
      <w:lvlJc w:val="left"/>
      <w:pPr>
        <w:ind w:left="1140" w:hanging="360"/>
      </w:pPr>
      <w:rPr>
        <w:rFonts w:hint="default"/>
        <w:b w:val="0"/>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8E434DA"/>
    <w:multiLevelType w:val="hybridMultilevel"/>
    <w:tmpl w:val="7D8869F4"/>
    <w:lvl w:ilvl="0" w:tplc="8EA4907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579DE"/>
    <w:multiLevelType w:val="hybridMultilevel"/>
    <w:tmpl w:val="CAA252AA"/>
    <w:lvl w:ilvl="0" w:tplc="DA742C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E2581B"/>
    <w:multiLevelType w:val="hybridMultilevel"/>
    <w:tmpl w:val="A48E864E"/>
    <w:lvl w:ilvl="0" w:tplc="69E63C52">
      <w:start w:val="3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562FA"/>
    <w:multiLevelType w:val="hybridMultilevel"/>
    <w:tmpl w:val="99D2AAC0"/>
    <w:lvl w:ilvl="0" w:tplc="04090013">
      <w:start w:val="1"/>
      <w:numFmt w:val="upperRoman"/>
      <w:lvlText w:val="%1."/>
      <w:lvlJc w:val="right"/>
      <w:pPr>
        <w:ind w:left="5817" w:hanging="360"/>
      </w:pPr>
    </w:lvl>
    <w:lvl w:ilvl="1" w:tplc="04090019" w:tentative="1">
      <w:start w:val="1"/>
      <w:numFmt w:val="lowerLetter"/>
      <w:lvlText w:val="%2."/>
      <w:lvlJc w:val="left"/>
      <w:pPr>
        <w:ind w:left="6537" w:hanging="360"/>
      </w:pPr>
    </w:lvl>
    <w:lvl w:ilvl="2" w:tplc="0409001B" w:tentative="1">
      <w:start w:val="1"/>
      <w:numFmt w:val="lowerRoman"/>
      <w:lvlText w:val="%3."/>
      <w:lvlJc w:val="right"/>
      <w:pPr>
        <w:ind w:left="7257" w:hanging="180"/>
      </w:pPr>
    </w:lvl>
    <w:lvl w:ilvl="3" w:tplc="0409000F" w:tentative="1">
      <w:start w:val="1"/>
      <w:numFmt w:val="decimal"/>
      <w:lvlText w:val="%4."/>
      <w:lvlJc w:val="left"/>
      <w:pPr>
        <w:ind w:left="7977" w:hanging="360"/>
      </w:pPr>
    </w:lvl>
    <w:lvl w:ilvl="4" w:tplc="04090019" w:tentative="1">
      <w:start w:val="1"/>
      <w:numFmt w:val="lowerLetter"/>
      <w:lvlText w:val="%5."/>
      <w:lvlJc w:val="left"/>
      <w:pPr>
        <w:ind w:left="8697" w:hanging="360"/>
      </w:pPr>
    </w:lvl>
    <w:lvl w:ilvl="5" w:tplc="0409001B" w:tentative="1">
      <w:start w:val="1"/>
      <w:numFmt w:val="lowerRoman"/>
      <w:lvlText w:val="%6."/>
      <w:lvlJc w:val="right"/>
      <w:pPr>
        <w:ind w:left="9417" w:hanging="180"/>
      </w:pPr>
    </w:lvl>
    <w:lvl w:ilvl="6" w:tplc="0409000F" w:tentative="1">
      <w:start w:val="1"/>
      <w:numFmt w:val="decimal"/>
      <w:lvlText w:val="%7."/>
      <w:lvlJc w:val="left"/>
      <w:pPr>
        <w:ind w:left="10137" w:hanging="360"/>
      </w:pPr>
    </w:lvl>
    <w:lvl w:ilvl="7" w:tplc="04090019" w:tentative="1">
      <w:start w:val="1"/>
      <w:numFmt w:val="lowerLetter"/>
      <w:lvlText w:val="%8."/>
      <w:lvlJc w:val="left"/>
      <w:pPr>
        <w:ind w:left="10857" w:hanging="360"/>
      </w:pPr>
    </w:lvl>
    <w:lvl w:ilvl="8" w:tplc="0409001B" w:tentative="1">
      <w:start w:val="1"/>
      <w:numFmt w:val="lowerRoman"/>
      <w:lvlText w:val="%9."/>
      <w:lvlJc w:val="right"/>
      <w:pPr>
        <w:ind w:left="11577" w:hanging="180"/>
      </w:pPr>
    </w:lvl>
  </w:abstractNum>
  <w:abstractNum w:abstractNumId="17" w15:restartNumberingAfterBreak="0">
    <w:nsid w:val="460208FE"/>
    <w:multiLevelType w:val="hybridMultilevel"/>
    <w:tmpl w:val="329AA94E"/>
    <w:lvl w:ilvl="0" w:tplc="5D5C16AE">
      <w:start w:val="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5114A"/>
    <w:multiLevelType w:val="hybridMultilevel"/>
    <w:tmpl w:val="C05C00FE"/>
    <w:lvl w:ilvl="0" w:tplc="278A2B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097982"/>
    <w:multiLevelType w:val="hybridMultilevel"/>
    <w:tmpl w:val="6B68F2DA"/>
    <w:lvl w:ilvl="0" w:tplc="2B1412E8">
      <w:start w:val="3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E6DA8"/>
    <w:multiLevelType w:val="hybridMultilevel"/>
    <w:tmpl w:val="0C3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5598C"/>
    <w:multiLevelType w:val="hybridMultilevel"/>
    <w:tmpl w:val="3188B600"/>
    <w:lvl w:ilvl="0" w:tplc="E2F686D8">
      <w:start w:val="44"/>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D644B"/>
    <w:multiLevelType w:val="hybridMultilevel"/>
    <w:tmpl w:val="7DDCCA8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8FC7E27"/>
    <w:multiLevelType w:val="hybridMultilevel"/>
    <w:tmpl w:val="E7925992"/>
    <w:lvl w:ilvl="0" w:tplc="FFFFFFFF">
      <w:start w:val="45"/>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421274"/>
    <w:multiLevelType w:val="hybridMultilevel"/>
    <w:tmpl w:val="529C98F2"/>
    <w:lvl w:ilvl="0" w:tplc="562EA80E">
      <w:start w:val="44"/>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56369"/>
    <w:multiLevelType w:val="hybridMultilevel"/>
    <w:tmpl w:val="CD76A1FC"/>
    <w:lvl w:ilvl="0" w:tplc="7950722E">
      <w:start w:val="4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A0022"/>
    <w:multiLevelType w:val="hybridMultilevel"/>
    <w:tmpl w:val="FE9C3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8757AD"/>
    <w:multiLevelType w:val="hybridMultilevel"/>
    <w:tmpl w:val="A8A2D242"/>
    <w:lvl w:ilvl="0" w:tplc="75DE4530">
      <w:start w:val="4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E53A9"/>
    <w:multiLevelType w:val="hybridMultilevel"/>
    <w:tmpl w:val="23EA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B19BA"/>
    <w:multiLevelType w:val="hybridMultilevel"/>
    <w:tmpl w:val="4228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480933">
    <w:abstractNumId w:val="18"/>
  </w:num>
  <w:num w:numId="2" w16cid:durableId="1904098813">
    <w:abstractNumId w:val="6"/>
  </w:num>
  <w:num w:numId="3" w16cid:durableId="1795057601">
    <w:abstractNumId w:val="6"/>
    <w:lvlOverride w:ilvl="0">
      <w:startOverride w:val="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1270823">
    <w:abstractNumId w:val="7"/>
  </w:num>
  <w:num w:numId="5" w16cid:durableId="605235934">
    <w:abstractNumId w:val="13"/>
  </w:num>
  <w:num w:numId="6" w16cid:durableId="657611841">
    <w:abstractNumId w:val="6"/>
    <w:lvlOverride w:ilvl="0">
      <w:startOverride w:val="6"/>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6497291">
    <w:abstractNumId w:val="21"/>
  </w:num>
  <w:num w:numId="8" w16cid:durableId="1768843446">
    <w:abstractNumId w:val="24"/>
  </w:num>
  <w:num w:numId="9" w16cid:durableId="1818689721">
    <w:abstractNumId w:val="3"/>
  </w:num>
  <w:num w:numId="10" w16cid:durableId="504907625">
    <w:abstractNumId w:val="22"/>
  </w:num>
  <w:num w:numId="11" w16cid:durableId="1464423585">
    <w:abstractNumId w:val="25"/>
  </w:num>
  <w:num w:numId="12" w16cid:durableId="593440815">
    <w:abstractNumId w:val="23"/>
  </w:num>
  <w:num w:numId="13" w16cid:durableId="148063144">
    <w:abstractNumId w:val="27"/>
  </w:num>
  <w:num w:numId="14" w16cid:durableId="453718553">
    <w:abstractNumId w:val="19"/>
  </w:num>
  <w:num w:numId="15" w16cid:durableId="2143695337">
    <w:abstractNumId w:val="6"/>
  </w:num>
  <w:num w:numId="16" w16cid:durableId="1663123464">
    <w:abstractNumId w:val="1"/>
  </w:num>
  <w:num w:numId="17" w16cid:durableId="1880893314">
    <w:abstractNumId w:val="15"/>
  </w:num>
  <w:num w:numId="18" w16cid:durableId="1099911784">
    <w:abstractNumId w:val="6"/>
    <w:lvlOverride w:ilvl="0">
      <w:startOverride w:val="6"/>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0489361">
    <w:abstractNumId w:val="17"/>
  </w:num>
  <w:num w:numId="20" w16cid:durableId="1546673862">
    <w:abstractNumId w:val="26"/>
  </w:num>
  <w:num w:numId="21" w16cid:durableId="271016426">
    <w:abstractNumId w:val="14"/>
  </w:num>
  <w:num w:numId="22" w16cid:durableId="416290141">
    <w:abstractNumId w:val="2"/>
  </w:num>
  <w:num w:numId="23" w16cid:durableId="1328443189">
    <w:abstractNumId w:val="11"/>
  </w:num>
  <w:num w:numId="24" w16cid:durableId="392775371">
    <w:abstractNumId w:val="29"/>
  </w:num>
  <w:num w:numId="25" w16cid:durableId="674964903">
    <w:abstractNumId w:val="5"/>
  </w:num>
  <w:num w:numId="26" w16cid:durableId="869344920">
    <w:abstractNumId w:val="9"/>
  </w:num>
  <w:num w:numId="27" w16cid:durableId="664482446">
    <w:abstractNumId w:val="10"/>
  </w:num>
  <w:num w:numId="28" w16cid:durableId="2115441423">
    <w:abstractNumId w:val="28"/>
  </w:num>
  <w:num w:numId="29" w16cid:durableId="278074875">
    <w:abstractNumId w:val="8"/>
  </w:num>
  <w:num w:numId="30" w16cid:durableId="1695882623">
    <w:abstractNumId w:val="16"/>
  </w:num>
  <w:num w:numId="31" w16cid:durableId="1461413378">
    <w:abstractNumId w:val="20"/>
  </w:num>
  <w:num w:numId="32" w16cid:durableId="376122573">
    <w:abstractNumId w:val="4"/>
  </w:num>
  <w:num w:numId="33" w16cid:durableId="1829782956">
    <w:abstractNumId w:val="0"/>
  </w:num>
  <w:num w:numId="34" w16cid:durableId="4951516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BF"/>
    <w:rsid w:val="0000101C"/>
    <w:rsid w:val="000011AA"/>
    <w:rsid w:val="000024FB"/>
    <w:rsid w:val="00003501"/>
    <w:rsid w:val="00004C94"/>
    <w:rsid w:val="000100CE"/>
    <w:rsid w:val="000106C3"/>
    <w:rsid w:val="00012216"/>
    <w:rsid w:val="00012A4E"/>
    <w:rsid w:val="00013C24"/>
    <w:rsid w:val="00015AF3"/>
    <w:rsid w:val="000172E1"/>
    <w:rsid w:val="000223C0"/>
    <w:rsid w:val="0002337E"/>
    <w:rsid w:val="00023BF5"/>
    <w:rsid w:val="000304BE"/>
    <w:rsid w:val="0003318C"/>
    <w:rsid w:val="0003611D"/>
    <w:rsid w:val="00042210"/>
    <w:rsid w:val="00042D6C"/>
    <w:rsid w:val="00050459"/>
    <w:rsid w:val="00051E62"/>
    <w:rsid w:val="0005272A"/>
    <w:rsid w:val="00056AAE"/>
    <w:rsid w:val="0005737E"/>
    <w:rsid w:val="00060A98"/>
    <w:rsid w:val="000610AD"/>
    <w:rsid w:val="000626AC"/>
    <w:rsid w:val="000668FF"/>
    <w:rsid w:val="000745FC"/>
    <w:rsid w:val="00075D62"/>
    <w:rsid w:val="00082108"/>
    <w:rsid w:val="00087142"/>
    <w:rsid w:val="00087FD2"/>
    <w:rsid w:val="00091882"/>
    <w:rsid w:val="00093985"/>
    <w:rsid w:val="00093BF9"/>
    <w:rsid w:val="000976B0"/>
    <w:rsid w:val="000A1A68"/>
    <w:rsid w:val="000A5C6D"/>
    <w:rsid w:val="000B4BCD"/>
    <w:rsid w:val="000B5D4C"/>
    <w:rsid w:val="000C0368"/>
    <w:rsid w:val="000C3C38"/>
    <w:rsid w:val="000C4A07"/>
    <w:rsid w:val="000C556C"/>
    <w:rsid w:val="000C5E2A"/>
    <w:rsid w:val="000C7968"/>
    <w:rsid w:val="000D07A0"/>
    <w:rsid w:val="000D2A3E"/>
    <w:rsid w:val="000D311F"/>
    <w:rsid w:val="000E1F9E"/>
    <w:rsid w:val="000E30EB"/>
    <w:rsid w:val="000E479B"/>
    <w:rsid w:val="000E5C08"/>
    <w:rsid w:val="000E5CA2"/>
    <w:rsid w:val="000F6EF4"/>
    <w:rsid w:val="00100B55"/>
    <w:rsid w:val="00100BDD"/>
    <w:rsid w:val="00102146"/>
    <w:rsid w:val="00102DFD"/>
    <w:rsid w:val="0010644C"/>
    <w:rsid w:val="00107084"/>
    <w:rsid w:val="00110BBD"/>
    <w:rsid w:val="0011386A"/>
    <w:rsid w:val="00115DC6"/>
    <w:rsid w:val="0011655B"/>
    <w:rsid w:val="0011724D"/>
    <w:rsid w:val="001219F5"/>
    <w:rsid w:val="00122B49"/>
    <w:rsid w:val="0012310E"/>
    <w:rsid w:val="00124950"/>
    <w:rsid w:val="0012686F"/>
    <w:rsid w:val="00127524"/>
    <w:rsid w:val="00131379"/>
    <w:rsid w:val="00143204"/>
    <w:rsid w:val="00146244"/>
    <w:rsid w:val="00153C00"/>
    <w:rsid w:val="00153EBC"/>
    <w:rsid w:val="00162A10"/>
    <w:rsid w:val="00163750"/>
    <w:rsid w:val="00165F0A"/>
    <w:rsid w:val="0016659B"/>
    <w:rsid w:val="00170137"/>
    <w:rsid w:val="00172104"/>
    <w:rsid w:val="00172C9B"/>
    <w:rsid w:val="0017382C"/>
    <w:rsid w:val="0018162E"/>
    <w:rsid w:val="00183AAC"/>
    <w:rsid w:val="00184B9F"/>
    <w:rsid w:val="00185D97"/>
    <w:rsid w:val="00195327"/>
    <w:rsid w:val="0019534C"/>
    <w:rsid w:val="00197256"/>
    <w:rsid w:val="0019773C"/>
    <w:rsid w:val="001A14BC"/>
    <w:rsid w:val="001A59FA"/>
    <w:rsid w:val="001A5A71"/>
    <w:rsid w:val="001B0D70"/>
    <w:rsid w:val="001B2A44"/>
    <w:rsid w:val="001B6DAD"/>
    <w:rsid w:val="001C02EA"/>
    <w:rsid w:val="001C0EE5"/>
    <w:rsid w:val="001C2394"/>
    <w:rsid w:val="001C7557"/>
    <w:rsid w:val="001D28FA"/>
    <w:rsid w:val="001D36EE"/>
    <w:rsid w:val="001D745A"/>
    <w:rsid w:val="001E23D1"/>
    <w:rsid w:val="001E3C77"/>
    <w:rsid w:val="001F3C01"/>
    <w:rsid w:val="001F4349"/>
    <w:rsid w:val="001F6725"/>
    <w:rsid w:val="002009A6"/>
    <w:rsid w:val="0020262B"/>
    <w:rsid w:val="00202E31"/>
    <w:rsid w:val="00203327"/>
    <w:rsid w:val="00205B7F"/>
    <w:rsid w:val="00205E3E"/>
    <w:rsid w:val="00207B15"/>
    <w:rsid w:val="00211085"/>
    <w:rsid w:val="0021581B"/>
    <w:rsid w:val="00217D0D"/>
    <w:rsid w:val="0022052E"/>
    <w:rsid w:val="002208C5"/>
    <w:rsid w:val="002213ED"/>
    <w:rsid w:val="002229A2"/>
    <w:rsid w:val="00224D14"/>
    <w:rsid w:val="002271DF"/>
    <w:rsid w:val="00232354"/>
    <w:rsid w:val="00232E41"/>
    <w:rsid w:val="002351D5"/>
    <w:rsid w:val="00237983"/>
    <w:rsid w:val="002438B2"/>
    <w:rsid w:val="00247804"/>
    <w:rsid w:val="00250000"/>
    <w:rsid w:val="00250268"/>
    <w:rsid w:val="00251CCC"/>
    <w:rsid w:val="00251CF7"/>
    <w:rsid w:val="0025302F"/>
    <w:rsid w:val="00253D58"/>
    <w:rsid w:val="00267144"/>
    <w:rsid w:val="00267669"/>
    <w:rsid w:val="00275245"/>
    <w:rsid w:val="0027548E"/>
    <w:rsid w:val="0027743F"/>
    <w:rsid w:val="0028288D"/>
    <w:rsid w:val="00283419"/>
    <w:rsid w:val="002843EB"/>
    <w:rsid w:val="00284B46"/>
    <w:rsid w:val="0028534B"/>
    <w:rsid w:val="00290A35"/>
    <w:rsid w:val="0029257A"/>
    <w:rsid w:val="0029258C"/>
    <w:rsid w:val="002973EC"/>
    <w:rsid w:val="002A32EF"/>
    <w:rsid w:val="002A4F54"/>
    <w:rsid w:val="002A7249"/>
    <w:rsid w:val="002B21EC"/>
    <w:rsid w:val="002C33F9"/>
    <w:rsid w:val="002D3345"/>
    <w:rsid w:val="002D42A2"/>
    <w:rsid w:val="002D5546"/>
    <w:rsid w:val="002D56AC"/>
    <w:rsid w:val="002D5B05"/>
    <w:rsid w:val="002D6004"/>
    <w:rsid w:val="002F418B"/>
    <w:rsid w:val="00302592"/>
    <w:rsid w:val="00307387"/>
    <w:rsid w:val="00316AF0"/>
    <w:rsid w:val="003171A7"/>
    <w:rsid w:val="003171AA"/>
    <w:rsid w:val="00321039"/>
    <w:rsid w:val="00327D27"/>
    <w:rsid w:val="0033248E"/>
    <w:rsid w:val="00335C2C"/>
    <w:rsid w:val="00340999"/>
    <w:rsid w:val="003409A0"/>
    <w:rsid w:val="00340EE0"/>
    <w:rsid w:val="00342E7C"/>
    <w:rsid w:val="00343935"/>
    <w:rsid w:val="00347A53"/>
    <w:rsid w:val="003572E2"/>
    <w:rsid w:val="0036113A"/>
    <w:rsid w:val="003621AF"/>
    <w:rsid w:val="00364572"/>
    <w:rsid w:val="003665D8"/>
    <w:rsid w:val="00367C68"/>
    <w:rsid w:val="00370515"/>
    <w:rsid w:val="00371B48"/>
    <w:rsid w:val="003730AC"/>
    <w:rsid w:val="00376E1C"/>
    <w:rsid w:val="0038005F"/>
    <w:rsid w:val="0038146F"/>
    <w:rsid w:val="00387343"/>
    <w:rsid w:val="0038777E"/>
    <w:rsid w:val="00392AB0"/>
    <w:rsid w:val="00395D8B"/>
    <w:rsid w:val="00396192"/>
    <w:rsid w:val="003967F3"/>
    <w:rsid w:val="003971BE"/>
    <w:rsid w:val="00397B3A"/>
    <w:rsid w:val="003A00DF"/>
    <w:rsid w:val="003A039E"/>
    <w:rsid w:val="003A3652"/>
    <w:rsid w:val="003A4A35"/>
    <w:rsid w:val="003A6A3C"/>
    <w:rsid w:val="003A6CA9"/>
    <w:rsid w:val="003B1C95"/>
    <w:rsid w:val="003C0938"/>
    <w:rsid w:val="003D21AA"/>
    <w:rsid w:val="003D27F9"/>
    <w:rsid w:val="003D314C"/>
    <w:rsid w:val="003E0EEF"/>
    <w:rsid w:val="003E247A"/>
    <w:rsid w:val="003E46C5"/>
    <w:rsid w:val="003E5876"/>
    <w:rsid w:val="003E5B0A"/>
    <w:rsid w:val="003E5FE3"/>
    <w:rsid w:val="003F238B"/>
    <w:rsid w:val="003F60A5"/>
    <w:rsid w:val="003F6F15"/>
    <w:rsid w:val="003F7001"/>
    <w:rsid w:val="003F7970"/>
    <w:rsid w:val="0040228D"/>
    <w:rsid w:val="004065BB"/>
    <w:rsid w:val="00410677"/>
    <w:rsid w:val="004142BA"/>
    <w:rsid w:val="004162AC"/>
    <w:rsid w:val="00420C21"/>
    <w:rsid w:val="00421DFD"/>
    <w:rsid w:val="004227D7"/>
    <w:rsid w:val="00422CA7"/>
    <w:rsid w:val="00423A95"/>
    <w:rsid w:val="00423F76"/>
    <w:rsid w:val="0042509B"/>
    <w:rsid w:val="00426BF9"/>
    <w:rsid w:val="00433588"/>
    <w:rsid w:val="004349FE"/>
    <w:rsid w:val="00440021"/>
    <w:rsid w:val="00440AF7"/>
    <w:rsid w:val="0044118A"/>
    <w:rsid w:val="00441757"/>
    <w:rsid w:val="00441D98"/>
    <w:rsid w:val="004441F4"/>
    <w:rsid w:val="0044440D"/>
    <w:rsid w:val="00445F83"/>
    <w:rsid w:val="00450135"/>
    <w:rsid w:val="00450D4F"/>
    <w:rsid w:val="00454288"/>
    <w:rsid w:val="00454482"/>
    <w:rsid w:val="004579FF"/>
    <w:rsid w:val="004637DE"/>
    <w:rsid w:val="0046571C"/>
    <w:rsid w:val="00466314"/>
    <w:rsid w:val="00470A3A"/>
    <w:rsid w:val="00471BC8"/>
    <w:rsid w:val="00472B94"/>
    <w:rsid w:val="004734BF"/>
    <w:rsid w:val="00476F38"/>
    <w:rsid w:val="004800D7"/>
    <w:rsid w:val="00482612"/>
    <w:rsid w:val="00483808"/>
    <w:rsid w:val="00484378"/>
    <w:rsid w:val="00485AE4"/>
    <w:rsid w:val="00486B19"/>
    <w:rsid w:val="00496DAE"/>
    <w:rsid w:val="004A1260"/>
    <w:rsid w:val="004A414E"/>
    <w:rsid w:val="004A4770"/>
    <w:rsid w:val="004A4BEC"/>
    <w:rsid w:val="004B1BC6"/>
    <w:rsid w:val="004B1CC2"/>
    <w:rsid w:val="004B2963"/>
    <w:rsid w:val="004B2FC8"/>
    <w:rsid w:val="004B48EF"/>
    <w:rsid w:val="004B4F71"/>
    <w:rsid w:val="004D0487"/>
    <w:rsid w:val="004D49A1"/>
    <w:rsid w:val="004D6A2B"/>
    <w:rsid w:val="004E091C"/>
    <w:rsid w:val="004E1A39"/>
    <w:rsid w:val="004E4667"/>
    <w:rsid w:val="004E683D"/>
    <w:rsid w:val="004E76B2"/>
    <w:rsid w:val="004F21DC"/>
    <w:rsid w:val="004F377D"/>
    <w:rsid w:val="004F649A"/>
    <w:rsid w:val="004F754F"/>
    <w:rsid w:val="005055AE"/>
    <w:rsid w:val="005103D9"/>
    <w:rsid w:val="0051430A"/>
    <w:rsid w:val="00514E69"/>
    <w:rsid w:val="00517D87"/>
    <w:rsid w:val="005202ED"/>
    <w:rsid w:val="00521EC5"/>
    <w:rsid w:val="00524775"/>
    <w:rsid w:val="005302C8"/>
    <w:rsid w:val="005334DC"/>
    <w:rsid w:val="00537A80"/>
    <w:rsid w:val="0054209A"/>
    <w:rsid w:val="00542523"/>
    <w:rsid w:val="0054539E"/>
    <w:rsid w:val="00546A70"/>
    <w:rsid w:val="005520E6"/>
    <w:rsid w:val="00556043"/>
    <w:rsid w:val="00562A15"/>
    <w:rsid w:val="0057086F"/>
    <w:rsid w:val="00571546"/>
    <w:rsid w:val="00572D51"/>
    <w:rsid w:val="00573FC3"/>
    <w:rsid w:val="00585ED9"/>
    <w:rsid w:val="00585FCF"/>
    <w:rsid w:val="00593268"/>
    <w:rsid w:val="00593310"/>
    <w:rsid w:val="005A3073"/>
    <w:rsid w:val="005B7DBA"/>
    <w:rsid w:val="005C1D9A"/>
    <w:rsid w:val="005C6F51"/>
    <w:rsid w:val="005D1B90"/>
    <w:rsid w:val="005E0109"/>
    <w:rsid w:val="005E2118"/>
    <w:rsid w:val="005E5062"/>
    <w:rsid w:val="005F0780"/>
    <w:rsid w:val="005F39E8"/>
    <w:rsid w:val="005F549B"/>
    <w:rsid w:val="006007D2"/>
    <w:rsid w:val="00606443"/>
    <w:rsid w:val="00606762"/>
    <w:rsid w:val="00606BE1"/>
    <w:rsid w:val="00606C8D"/>
    <w:rsid w:val="00611B93"/>
    <w:rsid w:val="00612203"/>
    <w:rsid w:val="00614161"/>
    <w:rsid w:val="00620584"/>
    <w:rsid w:val="00620B36"/>
    <w:rsid w:val="0062596F"/>
    <w:rsid w:val="00627C9B"/>
    <w:rsid w:val="0063017A"/>
    <w:rsid w:val="00633AEF"/>
    <w:rsid w:val="00635F94"/>
    <w:rsid w:val="00642F73"/>
    <w:rsid w:val="00645421"/>
    <w:rsid w:val="00646C3A"/>
    <w:rsid w:val="00647689"/>
    <w:rsid w:val="00647A98"/>
    <w:rsid w:val="0065056B"/>
    <w:rsid w:val="006568AE"/>
    <w:rsid w:val="00666A8A"/>
    <w:rsid w:val="0067068A"/>
    <w:rsid w:val="0067176B"/>
    <w:rsid w:val="006720AE"/>
    <w:rsid w:val="00673575"/>
    <w:rsid w:val="00680913"/>
    <w:rsid w:val="00682C45"/>
    <w:rsid w:val="00683741"/>
    <w:rsid w:val="00685915"/>
    <w:rsid w:val="00685FB8"/>
    <w:rsid w:val="006870F6"/>
    <w:rsid w:val="006929B3"/>
    <w:rsid w:val="006929F1"/>
    <w:rsid w:val="0069359F"/>
    <w:rsid w:val="006A47E3"/>
    <w:rsid w:val="006A572E"/>
    <w:rsid w:val="006B11F4"/>
    <w:rsid w:val="006B16B3"/>
    <w:rsid w:val="006B22B6"/>
    <w:rsid w:val="006B3998"/>
    <w:rsid w:val="006C377D"/>
    <w:rsid w:val="006C4303"/>
    <w:rsid w:val="006C7392"/>
    <w:rsid w:val="006D0F40"/>
    <w:rsid w:val="006D233F"/>
    <w:rsid w:val="006D3C98"/>
    <w:rsid w:val="006D710F"/>
    <w:rsid w:val="006D7D6C"/>
    <w:rsid w:val="006E077E"/>
    <w:rsid w:val="006E472B"/>
    <w:rsid w:val="006E50E9"/>
    <w:rsid w:val="006E67C0"/>
    <w:rsid w:val="006E7F81"/>
    <w:rsid w:val="006F4619"/>
    <w:rsid w:val="007020A6"/>
    <w:rsid w:val="007058EF"/>
    <w:rsid w:val="0071112D"/>
    <w:rsid w:val="00711EBC"/>
    <w:rsid w:val="00716606"/>
    <w:rsid w:val="00717108"/>
    <w:rsid w:val="00734DD0"/>
    <w:rsid w:val="00741099"/>
    <w:rsid w:val="00743748"/>
    <w:rsid w:val="00744B5D"/>
    <w:rsid w:val="0074503A"/>
    <w:rsid w:val="00745171"/>
    <w:rsid w:val="0074555B"/>
    <w:rsid w:val="0074673E"/>
    <w:rsid w:val="00751728"/>
    <w:rsid w:val="00751A2A"/>
    <w:rsid w:val="00751BC6"/>
    <w:rsid w:val="00751D1C"/>
    <w:rsid w:val="00751E0B"/>
    <w:rsid w:val="0075450B"/>
    <w:rsid w:val="00756075"/>
    <w:rsid w:val="00757FC4"/>
    <w:rsid w:val="00761215"/>
    <w:rsid w:val="00773B25"/>
    <w:rsid w:val="00774BAF"/>
    <w:rsid w:val="00781A59"/>
    <w:rsid w:val="00782DB5"/>
    <w:rsid w:val="00784818"/>
    <w:rsid w:val="00786EC4"/>
    <w:rsid w:val="0078711D"/>
    <w:rsid w:val="00790102"/>
    <w:rsid w:val="0079167A"/>
    <w:rsid w:val="00796F9B"/>
    <w:rsid w:val="007A351A"/>
    <w:rsid w:val="007A3EE7"/>
    <w:rsid w:val="007A515F"/>
    <w:rsid w:val="007A6A95"/>
    <w:rsid w:val="007A6F9E"/>
    <w:rsid w:val="007B12AB"/>
    <w:rsid w:val="007C046C"/>
    <w:rsid w:val="007C04CA"/>
    <w:rsid w:val="007C12CD"/>
    <w:rsid w:val="007C2F60"/>
    <w:rsid w:val="007C4A40"/>
    <w:rsid w:val="007D49F4"/>
    <w:rsid w:val="007D6631"/>
    <w:rsid w:val="007D6BFA"/>
    <w:rsid w:val="007E07FB"/>
    <w:rsid w:val="007E4A1C"/>
    <w:rsid w:val="007E6EB3"/>
    <w:rsid w:val="007E792F"/>
    <w:rsid w:val="007E7ED6"/>
    <w:rsid w:val="007E7F46"/>
    <w:rsid w:val="007F3067"/>
    <w:rsid w:val="00802EB5"/>
    <w:rsid w:val="00803002"/>
    <w:rsid w:val="00803482"/>
    <w:rsid w:val="00810178"/>
    <w:rsid w:val="00812784"/>
    <w:rsid w:val="00815148"/>
    <w:rsid w:val="00815C5A"/>
    <w:rsid w:val="0082071D"/>
    <w:rsid w:val="008217B4"/>
    <w:rsid w:val="00823644"/>
    <w:rsid w:val="008256AE"/>
    <w:rsid w:val="00830550"/>
    <w:rsid w:val="00830CE5"/>
    <w:rsid w:val="00831C58"/>
    <w:rsid w:val="0083250C"/>
    <w:rsid w:val="00833BAF"/>
    <w:rsid w:val="00840223"/>
    <w:rsid w:val="00842DB9"/>
    <w:rsid w:val="00845A3D"/>
    <w:rsid w:val="0085429E"/>
    <w:rsid w:val="00854AC8"/>
    <w:rsid w:val="008567E3"/>
    <w:rsid w:val="00861318"/>
    <w:rsid w:val="008626DF"/>
    <w:rsid w:val="00862D50"/>
    <w:rsid w:val="0086417B"/>
    <w:rsid w:val="00864CB4"/>
    <w:rsid w:val="008652F8"/>
    <w:rsid w:val="008669F2"/>
    <w:rsid w:val="00867AF0"/>
    <w:rsid w:val="00870097"/>
    <w:rsid w:val="008740A6"/>
    <w:rsid w:val="0087415F"/>
    <w:rsid w:val="008776BB"/>
    <w:rsid w:val="00880293"/>
    <w:rsid w:val="00881B54"/>
    <w:rsid w:val="00883523"/>
    <w:rsid w:val="00883D80"/>
    <w:rsid w:val="0088772E"/>
    <w:rsid w:val="008939CB"/>
    <w:rsid w:val="00897943"/>
    <w:rsid w:val="008A19A7"/>
    <w:rsid w:val="008B1E9C"/>
    <w:rsid w:val="008B233F"/>
    <w:rsid w:val="008B457B"/>
    <w:rsid w:val="008B639C"/>
    <w:rsid w:val="008B733A"/>
    <w:rsid w:val="008C120A"/>
    <w:rsid w:val="008C1A57"/>
    <w:rsid w:val="008C706B"/>
    <w:rsid w:val="008D10BE"/>
    <w:rsid w:val="008D4792"/>
    <w:rsid w:val="008E1FC6"/>
    <w:rsid w:val="008F3E19"/>
    <w:rsid w:val="008F4696"/>
    <w:rsid w:val="008F4CF6"/>
    <w:rsid w:val="008F6D10"/>
    <w:rsid w:val="008F7256"/>
    <w:rsid w:val="00903214"/>
    <w:rsid w:val="00903958"/>
    <w:rsid w:val="00910996"/>
    <w:rsid w:val="009117D6"/>
    <w:rsid w:val="00912455"/>
    <w:rsid w:val="00913E75"/>
    <w:rsid w:val="009149E4"/>
    <w:rsid w:val="0092124C"/>
    <w:rsid w:val="00923DC8"/>
    <w:rsid w:val="009245F4"/>
    <w:rsid w:val="00925E82"/>
    <w:rsid w:val="00927CBC"/>
    <w:rsid w:val="009346EE"/>
    <w:rsid w:val="00935EED"/>
    <w:rsid w:val="009428ED"/>
    <w:rsid w:val="009440E6"/>
    <w:rsid w:val="00945D1A"/>
    <w:rsid w:val="009502CF"/>
    <w:rsid w:val="0095150B"/>
    <w:rsid w:val="00952199"/>
    <w:rsid w:val="009559CC"/>
    <w:rsid w:val="00956728"/>
    <w:rsid w:val="00956DC8"/>
    <w:rsid w:val="00957F2F"/>
    <w:rsid w:val="00960795"/>
    <w:rsid w:val="0096118B"/>
    <w:rsid w:val="00967D99"/>
    <w:rsid w:val="00973A6B"/>
    <w:rsid w:val="00976BF0"/>
    <w:rsid w:val="00983A0B"/>
    <w:rsid w:val="009859CB"/>
    <w:rsid w:val="0098735E"/>
    <w:rsid w:val="00987AD6"/>
    <w:rsid w:val="00990807"/>
    <w:rsid w:val="0099179B"/>
    <w:rsid w:val="00994160"/>
    <w:rsid w:val="009A333F"/>
    <w:rsid w:val="009A571B"/>
    <w:rsid w:val="009A5DBE"/>
    <w:rsid w:val="009A73CD"/>
    <w:rsid w:val="009B0487"/>
    <w:rsid w:val="009B4457"/>
    <w:rsid w:val="009B4FBE"/>
    <w:rsid w:val="009B7F06"/>
    <w:rsid w:val="009C2E32"/>
    <w:rsid w:val="009C5CFD"/>
    <w:rsid w:val="009C7772"/>
    <w:rsid w:val="009D155D"/>
    <w:rsid w:val="009D3229"/>
    <w:rsid w:val="009D7E27"/>
    <w:rsid w:val="009E0DE4"/>
    <w:rsid w:val="009E5F9C"/>
    <w:rsid w:val="009F1444"/>
    <w:rsid w:val="009F3BAF"/>
    <w:rsid w:val="00A0529C"/>
    <w:rsid w:val="00A07F27"/>
    <w:rsid w:val="00A15925"/>
    <w:rsid w:val="00A16ED0"/>
    <w:rsid w:val="00A170B9"/>
    <w:rsid w:val="00A204CC"/>
    <w:rsid w:val="00A209EE"/>
    <w:rsid w:val="00A240A1"/>
    <w:rsid w:val="00A247F6"/>
    <w:rsid w:val="00A2764A"/>
    <w:rsid w:val="00A40A7F"/>
    <w:rsid w:val="00A433AB"/>
    <w:rsid w:val="00A5337C"/>
    <w:rsid w:val="00A5481F"/>
    <w:rsid w:val="00A57F6C"/>
    <w:rsid w:val="00A6029F"/>
    <w:rsid w:val="00A63393"/>
    <w:rsid w:val="00A64A6C"/>
    <w:rsid w:val="00A6716E"/>
    <w:rsid w:val="00A6786C"/>
    <w:rsid w:val="00A730AD"/>
    <w:rsid w:val="00A758FD"/>
    <w:rsid w:val="00A762FD"/>
    <w:rsid w:val="00A769FD"/>
    <w:rsid w:val="00A81BC5"/>
    <w:rsid w:val="00A83D54"/>
    <w:rsid w:val="00A83FA3"/>
    <w:rsid w:val="00A852F3"/>
    <w:rsid w:val="00A92A76"/>
    <w:rsid w:val="00A92D9D"/>
    <w:rsid w:val="00A93075"/>
    <w:rsid w:val="00AA0686"/>
    <w:rsid w:val="00AA3043"/>
    <w:rsid w:val="00AA3569"/>
    <w:rsid w:val="00AA3ED3"/>
    <w:rsid w:val="00AA6CF8"/>
    <w:rsid w:val="00AB4C0D"/>
    <w:rsid w:val="00AB6C81"/>
    <w:rsid w:val="00AC4FEB"/>
    <w:rsid w:val="00AC6419"/>
    <w:rsid w:val="00AC7A30"/>
    <w:rsid w:val="00AE0340"/>
    <w:rsid w:val="00AE0385"/>
    <w:rsid w:val="00AE19F0"/>
    <w:rsid w:val="00AE3267"/>
    <w:rsid w:val="00AE4278"/>
    <w:rsid w:val="00AE64BB"/>
    <w:rsid w:val="00AE677A"/>
    <w:rsid w:val="00AF2102"/>
    <w:rsid w:val="00AF2BBD"/>
    <w:rsid w:val="00AF4693"/>
    <w:rsid w:val="00AF5EED"/>
    <w:rsid w:val="00AF7781"/>
    <w:rsid w:val="00B035D2"/>
    <w:rsid w:val="00B04280"/>
    <w:rsid w:val="00B12D9D"/>
    <w:rsid w:val="00B1385F"/>
    <w:rsid w:val="00B14451"/>
    <w:rsid w:val="00B15F2A"/>
    <w:rsid w:val="00B16B56"/>
    <w:rsid w:val="00B201EC"/>
    <w:rsid w:val="00B221AF"/>
    <w:rsid w:val="00B22A01"/>
    <w:rsid w:val="00B27194"/>
    <w:rsid w:val="00B27380"/>
    <w:rsid w:val="00B3029C"/>
    <w:rsid w:val="00B31681"/>
    <w:rsid w:val="00B31E7D"/>
    <w:rsid w:val="00B3454F"/>
    <w:rsid w:val="00B361E0"/>
    <w:rsid w:val="00B44989"/>
    <w:rsid w:val="00B517B4"/>
    <w:rsid w:val="00B52797"/>
    <w:rsid w:val="00B52F26"/>
    <w:rsid w:val="00B5556D"/>
    <w:rsid w:val="00B5626B"/>
    <w:rsid w:val="00B569E2"/>
    <w:rsid w:val="00B57E37"/>
    <w:rsid w:val="00B60CF8"/>
    <w:rsid w:val="00B615C4"/>
    <w:rsid w:val="00B633C9"/>
    <w:rsid w:val="00B707A1"/>
    <w:rsid w:val="00B71C51"/>
    <w:rsid w:val="00B734BD"/>
    <w:rsid w:val="00B7452B"/>
    <w:rsid w:val="00B75B1A"/>
    <w:rsid w:val="00B8533F"/>
    <w:rsid w:val="00B86DCD"/>
    <w:rsid w:val="00B90914"/>
    <w:rsid w:val="00B949B0"/>
    <w:rsid w:val="00B94C3F"/>
    <w:rsid w:val="00BA038F"/>
    <w:rsid w:val="00BA03AE"/>
    <w:rsid w:val="00BA4C06"/>
    <w:rsid w:val="00BA502B"/>
    <w:rsid w:val="00BB24AA"/>
    <w:rsid w:val="00BB662F"/>
    <w:rsid w:val="00BB6912"/>
    <w:rsid w:val="00BC2B4C"/>
    <w:rsid w:val="00BD1C9A"/>
    <w:rsid w:val="00BD6D50"/>
    <w:rsid w:val="00BE4BB0"/>
    <w:rsid w:val="00BE6323"/>
    <w:rsid w:val="00BF2AF0"/>
    <w:rsid w:val="00BF664F"/>
    <w:rsid w:val="00BF6FE2"/>
    <w:rsid w:val="00BF7133"/>
    <w:rsid w:val="00C0085A"/>
    <w:rsid w:val="00C00A84"/>
    <w:rsid w:val="00C00F75"/>
    <w:rsid w:val="00C016B8"/>
    <w:rsid w:val="00C02F68"/>
    <w:rsid w:val="00C03AA1"/>
    <w:rsid w:val="00C03BBD"/>
    <w:rsid w:val="00C069DA"/>
    <w:rsid w:val="00C07F0E"/>
    <w:rsid w:val="00C10D20"/>
    <w:rsid w:val="00C13229"/>
    <w:rsid w:val="00C15B55"/>
    <w:rsid w:val="00C20DE2"/>
    <w:rsid w:val="00C2703B"/>
    <w:rsid w:val="00C308BA"/>
    <w:rsid w:val="00C33A7B"/>
    <w:rsid w:val="00C40313"/>
    <w:rsid w:val="00C43D8A"/>
    <w:rsid w:val="00C521C3"/>
    <w:rsid w:val="00C5379F"/>
    <w:rsid w:val="00C562D0"/>
    <w:rsid w:val="00C61C00"/>
    <w:rsid w:val="00C62916"/>
    <w:rsid w:val="00C65815"/>
    <w:rsid w:val="00C70743"/>
    <w:rsid w:val="00C719F0"/>
    <w:rsid w:val="00C73111"/>
    <w:rsid w:val="00C749B0"/>
    <w:rsid w:val="00C81A89"/>
    <w:rsid w:val="00C863A3"/>
    <w:rsid w:val="00C95B2C"/>
    <w:rsid w:val="00C961E2"/>
    <w:rsid w:val="00CA0B31"/>
    <w:rsid w:val="00CA0FB5"/>
    <w:rsid w:val="00CA3243"/>
    <w:rsid w:val="00CA5198"/>
    <w:rsid w:val="00CB0B7D"/>
    <w:rsid w:val="00CB1C46"/>
    <w:rsid w:val="00CB3130"/>
    <w:rsid w:val="00CB54F0"/>
    <w:rsid w:val="00CB67F3"/>
    <w:rsid w:val="00CC5466"/>
    <w:rsid w:val="00CC564D"/>
    <w:rsid w:val="00CD0312"/>
    <w:rsid w:val="00CD754D"/>
    <w:rsid w:val="00CE4A5D"/>
    <w:rsid w:val="00CE67DC"/>
    <w:rsid w:val="00CE6F52"/>
    <w:rsid w:val="00CF0E5F"/>
    <w:rsid w:val="00CF213C"/>
    <w:rsid w:val="00CF2488"/>
    <w:rsid w:val="00CF3343"/>
    <w:rsid w:val="00CF7215"/>
    <w:rsid w:val="00D0355C"/>
    <w:rsid w:val="00D045C9"/>
    <w:rsid w:val="00D054DF"/>
    <w:rsid w:val="00D06BE2"/>
    <w:rsid w:val="00D07215"/>
    <w:rsid w:val="00D136EF"/>
    <w:rsid w:val="00D155CF"/>
    <w:rsid w:val="00D2222A"/>
    <w:rsid w:val="00D22396"/>
    <w:rsid w:val="00D24851"/>
    <w:rsid w:val="00D2529C"/>
    <w:rsid w:val="00D32983"/>
    <w:rsid w:val="00D3335D"/>
    <w:rsid w:val="00D33BA1"/>
    <w:rsid w:val="00D37A62"/>
    <w:rsid w:val="00D412ED"/>
    <w:rsid w:val="00D4438E"/>
    <w:rsid w:val="00D443A7"/>
    <w:rsid w:val="00D451C5"/>
    <w:rsid w:val="00D45E51"/>
    <w:rsid w:val="00D46160"/>
    <w:rsid w:val="00D464A8"/>
    <w:rsid w:val="00D505B3"/>
    <w:rsid w:val="00D50799"/>
    <w:rsid w:val="00D54595"/>
    <w:rsid w:val="00D549B0"/>
    <w:rsid w:val="00D62654"/>
    <w:rsid w:val="00D6495C"/>
    <w:rsid w:val="00D830F2"/>
    <w:rsid w:val="00D83706"/>
    <w:rsid w:val="00D8453D"/>
    <w:rsid w:val="00D857C6"/>
    <w:rsid w:val="00D85AFC"/>
    <w:rsid w:val="00D85B93"/>
    <w:rsid w:val="00D86C83"/>
    <w:rsid w:val="00D87BE3"/>
    <w:rsid w:val="00D91423"/>
    <w:rsid w:val="00D914C2"/>
    <w:rsid w:val="00D93264"/>
    <w:rsid w:val="00D95349"/>
    <w:rsid w:val="00DA2056"/>
    <w:rsid w:val="00DA7D5B"/>
    <w:rsid w:val="00DB05F4"/>
    <w:rsid w:val="00DB7113"/>
    <w:rsid w:val="00DB7924"/>
    <w:rsid w:val="00DC0D94"/>
    <w:rsid w:val="00DC102D"/>
    <w:rsid w:val="00DC2221"/>
    <w:rsid w:val="00DC39FF"/>
    <w:rsid w:val="00DC712F"/>
    <w:rsid w:val="00DD3F2B"/>
    <w:rsid w:val="00DD4E25"/>
    <w:rsid w:val="00DD7174"/>
    <w:rsid w:val="00DE297E"/>
    <w:rsid w:val="00DE3E77"/>
    <w:rsid w:val="00DE6D22"/>
    <w:rsid w:val="00DE7793"/>
    <w:rsid w:val="00DF1DF2"/>
    <w:rsid w:val="00DF23AF"/>
    <w:rsid w:val="00E0152C"/>
    <w:rsid w:val="00E02088"/>
    <w:rsid w:val="00E03921"/>
    <w:rsid w:val="00E059F6"/>
    <w:rsid w:val="00E0687A"/>
    <w:rsid w:val="00E074FC"/>
    <w:rsid w:val="00E07E70"/>
    <w:rsid w:val="00E10262"/>
    <w:rsid w:val="00E11933"/>
    <w:rsid w:val="00E133F5"/>
    <w:rsid w:val="00E13F02"/>
    <w:rsid w:val="00E15FF8"/>
    <w:rsid w:val="00E16C04"/>
    <w:rsid w:val="00E173C4"/>
    <w:rsid w:val="00E17CDC"/>
    <w:rsid w:val="00E23A7D"/>
    <w:rsid w:val="00E2636C"/>
    <w:rsid w:val="00E32294"/>
    <w:rsid w:val="00E35F1E"/>
    <w:rsid w:val="00E3624D"/>
    <w:rsid w:val="00E3775C"/>
    <w:rsid w:val="00E37B53"/>
    <w:rsid w:val="00E404E9"/>
    <w:rsid w:val="00E40B8F"/>
    <w:rsid w:val="00E435C8"/>
    <w:rsid w:val="00E43A40"/>
    <w:rsid w:val="00E43F3B"/>
    <w:rsid w:val="00E4456F"/>
    <w:rsid w:val="00E46A24"/>
    <w:rsid w:val="00E46F6A"/>
    <w:rsid w:val="00E472A8"/>
    <w:rsid w:val="00E47300"/>
    <w:rsid w:val="00E53D57"/>
    <w:rsid w:val="00E55681"/>
    <w:rsid w:val="00E55C06"/>
    <w:rsid w:val="00E6021A"/>
    <w:rsid w:val="00E606F2"/>
    <w:rsid w:val="00E62388"/>
    <w:rsid w:val="00E628C8"/>
    <w:rsid w:val="00E637F4"/>
    <w:rsid w:val="00E65F05"/>
    <w:rsid w:val="00E66615"/>
    <w:rsid w:val="00E67871"/>
    <w:rsid w:val="00E678B9"/>
    <w:rsid w:val="00E712C4"/>
    <w:rsid w:val="00E72DF1"/>
    <w:rsid w:val="00E74440"/>
    <w:rsid w:val="00E74FEE"/>
    <w:rsid w:val="00E760D9"/>
    <w:rsid w:val="00E76618"/>
    <w:rsid w:val="00E828AD"/>
    <w:rsid w:val="00E836D0"/>
    <w:rsid w:val="00E85017"/>
    <w:rsid w:val="00E85437"/>
    <w:rsid w:val="00E8569C"/>
    <w:rsid w:val="00E96222"/>
    <w:rsid w:val="00EA4200"/>
    <w:rsid w:val="00EB05D7"/>
    <w:rsid w:val="00EB3B43"/>
    <w:rsid w:val="00EB54A3"/>
    <w:rsid w:val="00EC060D"/>
    <w:rsid w:val="00EC1329"/>
    <w:rsid w:val="00EC2358"/>
    <w:rsid w:val="00EC54EA"/>
    <w:rsid w:val="00ED2AC9"/>
    <w:rsid w:val="00ED4EF1"/>
    <w:rsid w:val="00ED6362"/>
    <w:rsid w:val="00ED7680"/>
    <w:rsid w:val="00EE1572"/>
    <w:rsid w:val="00EF3CA6"/>
    <w:rsid w:val="00F00BA2"/>
    <w:rsid w:val="00F04DF4"/>
    <w:rsid w:val="00F13C90"/>
    <w:rsid w:val="00F16ED3"/>
    <w:rsid w:val="00F2239A"/>
    <w:rsid w:val="00F230E2"/>
    <w:rsid w:val="00F23709"/>
    <w:rsid w:val="00F27E34"/>
    <w:rsid w:val="00F34867"/>
    <w:rsid w:val="00F35400"/>
    <w:rsid w:val="00F3552F"/>
    <w:rsid w:val="00F36CA0"/>
    <w:rsid w:val="00F376A1"/>
    <w:rsid w:val="00F41708"/>
    <w:rsid w:val="00F50ED1"/>
    <w:rsid w:val="00F524F8"/>
    <w:rsid w:val="00F53FBE"/>
    <w:rsid w:val="00F571CB"/>
    <w:rsid w:val="00F6557C"/>
    <w:rsid w:val="00F72660"/>
    <w:rsid w:val="00F72F8E"/>
    <w:rsid w:val="00F73D54"/>
    <w:rsid w:val="00F75A98"/>
    <w:rsid w:val="00F75DED"/>
    <w:rsid w:val="00F81481"/>
    <w:rsid w:val="00F860EA"/>
    <w:rsid w:val="00F90D9D"/>
    <w:rsid w:val="00F949BE"/>
    <w:rsid w:val="00FA0C0B"/>
    <w:rsid w:val="00FA0FC5"/>
    <w:rsid w:val="00FA1CD7"/>
    <w:rsid w:val="00FA770C"/>
    <w:rsid w:val="00FA7EB0"/>
    <w:rsid w:val="00FB3644"/>
    <w:rsid w:val="00FB4B7F"/>
    <w:rsid w:val="00FB5B15"/>
    <w:rsid w:val="00FB6D0D"/>
    <w:rsid w:val="00FB75AF"/>
    <w:rsid w:val="00FC3887"/>
    <w:rsid w:val="00FD08BF"/>
    <w:rsid w:val="00FD2D18"/>
    <w:rsid w:val="00FD2F0E"/>
    <w:rsid w:val="00FD32BD"/>
    <w:rsid w:val="00FD468A"/>
    <w:rsid w:val="00FD52E1"/>
    <w:rsid w:val="00FD5CA0"/>
    <w:rsid w:val="00FD720A"/>
    <w:rsid w:val="00FE1767"/>
    <w:rsid w:val="00FE226F"/>
    <w:rsid w:val="00FE733A"/>
    <w:rsid w:val="00FF2B43"/>
    <w:rsid w:val="00FF4910"/>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lexis-nexis-com/casename" w:url="http://support.lexisnexis.com/LNDownload/record.asp?ArticleID=Download_SmartTags" w:name="casename"/>
  <w:shapeDefaults>
    <o:shapedefaults v:ext="edit" spidmax="1026"/>
    <o:shapelayout v:ext="edit">
      <o:idmap v:ext="edit" data="1"/>
    </o:shapelayout>
  </w:shapeDefaults>
  <w:decimalSymbol w:val="."/>
  <w:listSeparator w:val=","/>
  <w14:docId w14:val="52307C5A"/>
  <w15:chartTrackingRefBased/>
  <w15:docId w15:val="{48453533-3D72-402A-9F13-10E5E599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ED3"/>
  </w:style>
  <w:style w:type="paragraph" w:styleId="Heading1">
    <w:name w:val="heading 1"/>
    <w:basedOn w:val="Normal"/>
    <w:next w:val="Normal"/>
    <w:link w:val="Heading1Char"/>
    <w:uiPriority w:val="9"/>
    <w:qFormat/>
    <w:rsid w:val="000821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162E"/>
    <w:pPr>
      <w:ind w:left="720"/>
      <w:contextualSpacing/>
    </w:pPr>
  </w:style>
  <w:style w:type="paragraph" w:styleId="BodyText">
    <w:name w:val="Body Text"/>
    <w:basedOn w:val="Normal"/>
    <w:link w:val="BodyTextChar"/>
    <w:uiPriority w:val="99"/>
    <w:unhideWhenUsed/>
    <w:rsid w:val="004E1A39"/>
    <w:pPr>
      <w:widowControl w:val="0"/>
      <w:spacing w:after="240" w:line="276" w:lineRule="auto"/>
      <w:ind w:firstLine="720"/>
    </w:pPr>
    <w:rPr>
      <w:rFonts w:ascii="Calibri" w:eastAsia="Times New Roman" w:hAnsi="Calibri" w:cs="Times New Roman"/>
      <w:lang w:bidi="en-US"/>
    </w:rPr>
  </w:style>
  <w:style w:type="character" w:customStyle="1" w:styleId="BodyTextChar">
    <w:name w:val="Body Text Char"/>
    <w:basedOn w:val="DefaultParagraphFont"/>
    <w:link w:val="BodyText"/>
    <w:uiPriority w:val="99"/>
    <w:rsid w:val="004E1A39"/>
    <w:rPr>
      <w:rFonts w:ascii="Calibri" w:eastAsia="Times New Roman" w:hAnsi="Calibri" w:cs="Times New Roman"/>
      <w:lang w:bidi="en-US"/>
    </w:rPr>
  </w:style>
  <w:style w:type="paragraph" w:customStyle="1" w:styleId="HCOMPLAINTL1">
    <w:name w:val="HCOMPLAINT_L1"/>
    <w:basedOn w:val="Normal"/>
    <w:next w:val="BodyText"/>
    <w:uiPriority w:val="99"/>
    <w:rsid w:val="004E1A39"/>
    <w:pPr>
      <w:keepNext/>
      <w:numPr>
        <w:numId w:val="15"/>
      </w:numPr>
      <w:spacing w:before="240" w:after="240" w:line="276" w:lineRule="auto"/>
      <w:outlineLvl w:val="0"/>
    </w:pPr>
    <w:rPr>
      <w:rFonts w:ascii="Calibri" w:eastAsia="Times New Roman" w:hAnsi="Calibri" w:cs="Times New Roman"/>
      <w:b/>
      <w:caps/>
      <w:szCs w:val="20"/>
      <w:lang w:bidi="en-US"/>
    </w:rPr>
  </w:style>
  <w:style w:type="paragraph" w:customStyle="1" w:styleId="HCOMPLAINTL2">
    <w:name w:val="HCOMPLAINT_L2"/>
    <w:basedOn w:val="HCOMPLAINTL1"/>
    <w:next w:val="BodyText"/>
    <w:uiPriority w:val="99"/>
    <w:rsid w:val="004E1A39"/>
    <w:pPr>
      <w:keepNext w:val="0"/>
      <w:numPr>
        <w:ilvl w:val="1"/>
      </w:numPr>
      <w:spacing w:line="480" w:lineRule="auto"/>
      <w:jc w:val="both"/>
      <w:outlineLvl w:val="1"/>
    </w:pPr>
    <w:rPr>
      <w:b w:val="0"/>
      <w:caps w:val="0"/>
    </w:rPr>
  </w:style>
  <w:style w:type="paragraph" w:customStyle="1" w:styleId="HCOMPLAINTL3">
    <w:name w:val="HCOMPLAINT_L3"/>
    <w:basedOn w:val="HCOMPLAINTL2"/>
    <w:next w:val="BodyText"/>
    <w:uiPriority w:val="99"/>
    <w:rsid w:val="004E1A39"/>
    <w:pPr>
      <w:keepNext/>
      <w:numPr>
        <w:ilvl w:val="2"/>
      </w:numPr>
      <w:outlineLvl w:val="2"/>
    </w:pPr>
  </w:style>
  <w:style w:type="paragraph" w:customStyle="1" w:styleId="HCOMPLAINTL4">
    <w:name w:val="HCOMPLAINT_L4"/>
    <w:basedOn w:val="HCOMPLAINTL3"/>
    <w:next w:val="BodyText"/>
    <w:uiPriority w:val="99"/>
    <w:rsid w:val="004E1A39"/>
    <w:pPr>
      <w:numPr>
        <w:ilvl w:val="3"/>
      </w:numPr>
      <w:spacing w:line="240" w:lineRule="auto"/>
      <w:jc w:val="center"/>
      <w:outlineLvl w:val="3"/>
    </w:pPr>
    <w:rPr>
      <w:b/>
      <w:caps/>
    </w:rPr>
  </w:style>
  <w:style w:type="paragraph" w:customStyle="1" w:styleId="HCOMPLAINTL5">
    <w:name w:val="HCOMPLAINT_L5"/>
    <w:basedOn w:val="HCOMPLAINTL4"/>
    <w:next w:val="BodyText"/>
    <w:uiPriority w:val="99"/>
    <w:rsid w:val="004E1A39"/>
    <w:pPr>
      <w:keepNext w:val="0"/>
      <w:numPr>
        <w:ilvl w:val="4"/>
      </w:numPr>
      <w:spacing w:line="480" w:lineRule="auto"/>
      <w:jc w:val="both"/>
      <w:outlineLvl w:val="4"/>
    </w:pPr>
    <w:rPr>
      <w:b w:val="0"/>
      <w:caps w:val="0"/>
    </w:rPr>
  </w:style>
  <w:style w:type="paragraph" w:customStyle="1" w:styleId="HCOMPLAINTL6">
    <w:name w:val="HCOMPLAINT_L6"/>
    <w:basedOn w:val="HCOMPLAINTL5"/>
    <w:next w:val="BodyText"/>
    <w:uiPriority w:val="99"/>
    <w:rsid w:val="004E1A39"/>
    <w:pPr>
      <w:keepNext/>
      <w:keepLines/>
      <w:widowControl w:val="0"/>
      <w:numPr>
        <w:ilvl w:val="5"/>
      </w:numPr>
      <w:spacing w:before="0" w:after="120" w:line="240" w:lineRule="auto"/>
      <w:outlineLvl w:val="5"/>
    </w:pPr>
  </w:style>
  <w:style w:type="paragraph" w:customStyle="1" w:styleId="HCOMPLAINTL7">
    <w:name w:val="HCOMPLAINT_L7"/>
    <w:basedOn w:val="HCOMPLAINTL6"/>
    <w:next w:val="BodyText"/>
    <w:uiPriority w:val="99"/>
    <w:rsid w:val="004E1A39"/>
    <w:pPr>
      <w:keepLines w:val="0"/>
      <w:widowControl/>
      <w:numPr>
        <w:ilvl w:val="6"/>
      </w:numPr>
      <w:spacing w:before="240" w:after="240"/>
      <w:jc w:val="center"/>
      <w:outlineLvl w:val="6"/>
    </w:pPr>
    <w:rPr>
      <w:b/>
      <w:caps/>
    </w:rPr>
  </w:style>
  <w:style w:type="paragraph" w:customStyle="1" w:styleId="HCOMPLAINTL8">
    <w:name w:val="HCOMPLAINT_L8"/>
    <w:basedOn w:val="HCOMPLAINTL7"/>
    <w:next w:val="BodyText"/>
    <w:uiPriority w:val="99"/>
    <w:rsid w:val="004E1A39"/>
    <w:pPr>
      <w:keepNext w:val="0"/>
      <w:numPr>
        <w:ilvl w:val="7"/>
      </w:numPr>
      <w:jc w:val="both"/>
      <w:outlineLvl w:val="7"/>
    </w:pPr>
    <w:rPr>
      <w:b w:val="0"/>
      <w:caps w:val="0"/>
    </w:rPr>
  </w:style>
  <w:style w:type="character" w:styleId="Hyperlink">
    <w:name w:val="Hyperlink"/>
    <w:uiPriority w:val="99"/>
    <w:unhideWhenUsed/>
    <w:rsid w:val="001F3C01"/>
    <w:rPr>
      <w:color w:val="0000FF"/>
      <w:u w:val="single"/>
    </w:rPr>
  </w:style>
  <w:style w:type="paragraph" w:styleId="NormalWeb">
    <w:name w:val="Normal (Web)"/>
    <w:basedOn w:val="Normal"/>
    <w:uiPriority w:val="99"/>
    <w:unhideWhenUsed/>
    <w:rsid w:val="001F3C01"/>
    <w:pPr>
      <w:spacing w:before="100" w:beforeAutospacing="1" w:after="100" w:afterAutospacing="1" w:line="480" w:lineRule="auto"/>
      <w:ind w:firstLine="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75"/>
  </w:style>
  <w:style w:type="paragraph" w:styleId="Footer">
    <w:name w:val="footer"/>
    <w:basedOn w:val="Normal"/>
    <w:link w:val="FooterChar"/>
    <w:uiPriority w:val="99"/>
    <w:unhideWhenUsed/>
    <w:rsid w:val="0075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075"/>
  </w:style>
  <w:style w:type="paragraph" w:styleId="FootnoteText">
    <w:name w:val="footnote text"/>
    <w:basedOn w:val="Normal"/>
    <w:link w:val="FootnoteTextChar"/>
    <w:uiPriority w:val="99"/>
    <w:unhideWhenUsed/>
    <w:rsid w:val="00423F76"/>
    <w:pPr>
      <w:spacing w:after="0" w:line="240" w:lineRule="auto"/>
    </w:pPr>
    <w:rPr>
      <w:sz w:val="20"/>
      <w:szCs w:val="20"/>
    </w:rPr>
  </w:style>
  <w:style w:type="character" w:customStyle="1" w:styleId="FootnoteTextChar">
    <w:name w:val="Footnote Text Char"/>
    <w:basedOn w:val="DefaultParagraphFont"/>
    <w:link w:val="FootnoteText"/>
    <w:uiPriority w:val="99"/>
    <w:rsid w:val="00423F76"/>
    <w:rPr>
      <w:sz w:val="20"/>
      <w:szCs w:val="20"/>
    </w:rPr>
  </w:style>
  <w:style w:type="character" w:styleId="FootnoteReference">
    <w:name w:val="footnote reference"/>
    <w:rsid w:val="00AA3ED3"/>
    <w:rPr>
      <w:rFonts w:ascii="Times New Roman" w:hAnsi="Times New Roman"/>
      <w:sz w:val="20"/>
    </w:rPr>
  </w:style>
  <w:style w:type="paragraph" w:customStyle="1" w:styleId="FootnoteTextMore">
    <w:name w:val="Footnote TextMore"/>
    <w:basedOn w:val="Normal"/>
    <w:autoRedefine/>
    <w:rsid w:val="004162AC"/>
    <w:pPr>
      <w:widowControl w:val="0"/>
      <w:autoSpaceDE w:val="0"/>
      <w:autoSpaceDN w:val="0"/>
      <w:adjustRightInd w:val="0"/>
      <w:spacing w:after="0" w:line="480" w:lineRule="auto"/>
      <w:ind w:firstLine="720"/>
    </w:pPr>
    <w:rPr>
      <w:rFonts w:ascii="Times New Roman" w:eastAsia="Times New Roman" w:hAnsi="Times New Roman" w:cs="Times New Roman"/>
      <w:spacing w:val="-2"/>
      <w:sz w:val="24"/>
      <w:szCs w:val="24"/>
    </w:rPr>
  </w:style>
  <w:style w:type="paragraph" w:styleId="NoSpacing">
    <w:name w:val="No Spacing"/>
    <w:uiPriority w:val="1"/>
    <w:qFormat/>
    <w:rsid w:val="00E03921"/>
    <w:pPr>
      <w:spacing w:after="0" w:line="240" w:lineRule="auto"/>
    </w:pPr>
  </w:style>
  <w:style w:type="character" w:customStyle="1" w:styleId="Heading1Char">
    <w:name w:val="Heading 1 Char"/>
    <w:basedOn w:val="DefaultParagraphFont"/>
    <w:link w:val="Heading1"/>
    <w:uiPriority w:val="9"/>
    <w:rsid w:val="00082108"/>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rsid w:val="000B4BCD"/>
  </w:style>
  <w:style w:type="character" w:styleId="PlaceholderText">
    <w:name w:val="Placeholder Text"/>
    <w:basedOn w:val="DefaultParagraphFont"/>
    <w:uiPriority w:val="99"/>
    <w:semiHidden/>
    <w:rsid w:val="00B16B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5A89-30E7-42E7-A598-66B320C6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19</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Downey</dc:creator>
  <cp:keywords/>
  <dc:description/>
  <cp:lastModifiedBy>Jeff Downey</cp:lastModifiedBy>
  <cp:revision>12</cp:revision>
  <cp:lastPrinted>2023-02-01T17:47:00Z</cp:lastPrinted>
  <dcterms:created xsi:type="dcterms:W3CDTF">2023-01-26T14:53:00Z</dcterms:created>
  <dcterms:modified xsi:type="dcterms:W3CDTF">2023-02-16T19:35:00Z</dcterms:modified>
</cp:coreProperties>
</file>