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D2A" w14:textId="74C78D5F" w:rsidR="00B035D2" w:rsidRDefault="00B035D2" w:rsidP="00B035D2">
      <w:pPr>
        <w:spacing w:after="0"/>
        <w:rPr>
          <w:rFonts w:ascii="Times New Roman" w:hAnsi="Times New Roman" w:cs="Times New Roman"/>
          <w:sz w:val="24"/>
          <w:szCs w:val="24"/>
          <w:u w:val="single"/>
        </w:rPr>
      </w:pPr>
      <w:r>
        <w:rPr>
          <w:rFonts w:ascii="Times New Roman" w:hAnsi="Times New Roman" w:cs="Times New Roman"/>
          <w:sz w:val="24"/>
          <w:szCs w:val="24"/>
        </w:rPr>
        <w:t>VIRGINIA:</w:t>
      </w:r>
      <w:r>
        <w:rPr>
          <w:rFonts w:ascii="Times New Roman" w:hAnsi="Times New Roman" w:cs="Times New Roman"/>
          <w:sz w:val="24"/>
          <w:szCs w:val="24"/>
        </w:rPr>
        <w:tab/>
      </w:r>
      <w:r>
        <w:rPr>
          <w:rFonts w:ascii="Times New Roman" w:hAnsi="Times New Roman" w:cs="Times New Roman"/>
          <w:sz w:val="24"/>
          <w:szCs w:val="24"/>
        </w:rPr>
        <w:tab/>
        <w:t>IN THE CIRCUIT COURT OF FAIRFAX COUNTY</w:t>
      </w:r>
    </w:p>
    <w:p w14:paraId="5D69F32E" w14:textId="64E37A89" w:rsidR="00D86C83" w:rsidRDefault="00D86C83" w:rsidP="00D86C83">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A01FE1" w14:textId="49043F45" w:rsidR="004B2963" w:rsidRPr="004B2963" w:rsidRDefault="004B2963" w:rsidP="00D86C8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6A89E87" w14:textId="5ADC3A2C" w:rsidR="009B7F06" w:rsidRDefault="009B7F06" w:rsidP="007D49F4">
      <w:pPr>
        <w:spacing w:after="0"/>
        <w:rPr>
          <w:rFonts w:ascii="Times New Roman" w:hAnsi="Times New Roman" w:cs="Times New Roman"/>
          <w:sz w:val="24"/>
          <w:szCs w:val="24"/>
        </w:rPr>
      </w:pPr>
      <w:r w:rsidRPr="00F230E2">
        <w:rPr>
          <w:rFonts w:ascii="Times New Roman" w:hAnsi="Times New Roman" w:cs="Times New Roman"/>
          <w:b/>
          <w:bCs/>
          <w:sz w:val="24"/>
          <w:szCs w:val="24"/>
        </w:rPr>
        <w:t>Sara A. McCorkle</w:t>
      </w:r>
      <w:r w:rsidRPr="009B7F06">
        <w:rPr>
          <w:rFonts w:ascii="Times New Roman" w:hAnsi="Times New Roman" w:cs="Times New Roman"/>
          <w:sz w:val="24"/>
          <w:szCs w:val="24"/>
        </w:rPr>
        <w:t>, by and through her</w:t>
      </w:r>
      <w:r w:rsidR="00050459">
        <w:rPr>
          <w:rFonts w:ascii="Times New Roman" w:hAnsi="Times New Roman" w:cs="Times New Roman"/>
          <w:sz w:val="24"/>
          <w:szCs w:val="24"/>
        </w:rPr>
        <w:tab/>
      </w:r>
      <w:r w:rsidR="00050459">
        <w:rPr>
          <w:rFonts w:ascii="Times New Roman" w:hAnsi="Times New Roman" w:cs="Times New Roman"/>
          <w:sz w:val="24"/>
          <w:szCs w:val="24"/>
        </w:rPr>
        <w:tab/>
        <w:t>)</w:t>
      </w:r>
      <w:r w:rsidR="004B2963">
        <w:rPr>
          <w:rFonts w:ascii="Times New Roman" w:hAnsi="Times New Roman" w:cs="Times New Roman"/>
          <w:sz w:val="24"/>
          <w:szCs w:val="24"/>
        </w:rPr>
        <w:tab/>
      </w:r>
      <w:r w:rsidR="004B2963">
        <w:rPr>
          <w:rFonts w:ascii="Times New Roman" w:hAnsi="Times New Roman" w:cs="Times New Roman"/>
          <w:sz w:val="24"/>
          <w:szCs w:val="24"/>
        </w:rPr>
        <w:tab/>
      </w:r>
    </w:p>
    <w:p w14:paraId="3F47AFD6" w14:textId="236B5A05" w:rsidR="007D49F4" w:rsidRDefault="007D49F4" w:rsidP="007D49F4">
      <w:pPr>
        <w:spacing w:after="0"/>
        <w:rPr>
          <w:rFonts w:ascii="Times New Roman" w:hAnsi="Times New Roman" w:cs="Times New Roman"/>
          <w:sz w:val="24"/>
          <w:szCs w:val="24"/>
        </w:rPr>
      </w:pPr>
      <w:r>
        <w:rPr>
          <w:rFonts w:ascii="Times New Roman" w:hAnsi="Times New Roman" w:cs="Times New Roman"/>
          <w:sz w:val="24"/>
          <w:szCs w:val="24"/>
        </w:rPr>
        <w:t xml:space="preserve">Next Friend, </w:t>
      </w:r>
      <w:r w:rsidR="00E828AD">
        <w:rPr>
          <w:rFonts w:ascii="Times New Roman" w:hAnsi="Times New Roman" w:cs="Times New Roman"/>
          <w:sz w:val="24"/>
          <w:szCs w:val="24"/>
        </w:rPr>
        <w:t xml:space="preserve">Allen D. </w:t>
      </w:r>
      <w:r>
        <w:rPr>
          <w:rFonts w:ascii="Times New Roman" w:hAnsi="Times New Roman" w:cs="Times New Roman"/>
          <w:sz w:val="24"/>
          <w:szCs w:val="24"/>
        </w:rPr>
        <w:t xml:space="preserve"> McCorkle</w:t>
      </w:r>
      <w:r w:rsidR="00050459">
        <w:rPr>
          <w:rFonts w:ascii="Times New Roman" w:hAnsi="Times New Roman" w:cs="Times New Roman"/>
          <w:sz w:val="24"/>
          <w:szCs w:val="24"/>
        </w:rPr>
        <w:tab/>
      </w:r>
      <w:r w:rsidR="00050459">
        <w:rPr>
          <w:rFonts w:ascii="Times New Roman" w:hAnsi="Times New Roman" w:cs="Times New Roman"/>
          <w:sz w:val="24"/>
          <w:szCs w:val="24"/>
        </w:rPr>
        <w:tab/>
      </w:r>
      <w:r w:rsidR="00E828AD">
        <w:rPr>
          <w:rFonts w:ascii="Times New Roman" w:hAnsi="Times New Roman" w:cs="Times New Roman"/>
          <w:sz w:val="24"/>
          <w:szCs w:val="24"/>
        </w:rPr>
        <w:tab/>
      </w:r>
      <w:r w:rsidR="00050459">
        <w:rPr>
          <w:rFonts w:ascii="Times New Roman" w:hAnsi="Times New Roman" w:cs="Times New Roman"/>
          <w:sz w:val="24"/>
          <w:szCs w:val="24"/>
        </w:rPr>
        <w:t>)</w:t>
      </w:r>
    </w:p>
    <w:p w14:paraId="20D15009" w14:textId="443FBF65" w:rsidR="007D49F4" w:rsidRDefault="00050459" w:rsidP="007D49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211B5F3" w14:textId="0813627A" w:rsidR="007D49F4" w:rsidRDefault="007D49F4" w:rsidP="007D49F4">
      <w:pPr>
        <w:spacing w:after="0"/>
        <w:rPr>
          <w:rFonts w:ascii="Times New Roman" w:hAnsi="Times New Roman" w:cs="Times New Roman"/>
          <w:sz w:val="24"/>
          <w:szCs w:val="24"/>
        </w:rPr>
      </w:pPr>
      <w:r>
        <w:rPr>
          <w:rFonts w:ascii="Times New Roman" w:hAnsi="Times New Roman" w:cs="Times New Roman"/>
          <w:sz w:val="24"/>
          <w:szCs w:val="24"/>
        </w:rPr>
        <w:tab/>
      </w:r>
      <w:r w:rsidR="00D83706">
        <w:rPr>
          <w:rFonts w:ascii="Times New Roman" w:hAnsi="Times New Roman" w:cs="Times New Roman"/>
          <w:sz w:val="24"/>
          <w:szCs w:val="24"/>
        </w:rPr>
        <w:tab/>
      </w:r>
      <w:r w:rsidR="0067068A">
        <w:rPr>
          <w:rFonts w:ascii="Times New Roman" w:hAnsi="Times New Roman" w:cs="Times New Roman"/>
          <w:sz w:val="24"/>
          <w:szCs w:val="24"/>
        </w:rPr>
        <w:t>Plaintiff</w:t>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t>)</w:t>
      </w:r>
    </w:p>
    <w:p w14:paraId="4BE90BD8" w14:textId="76240D42" w:rsidR="0067068A" w:rsidRDefault="00050459" w:rsidP="007D49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CA6C69C" w14:textId="3E36359C" w:rsidR="0067068A" w:rsidRDefault="0067068A" w:rsidP="007D49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w:t>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r>
      <w:r w:rsidR="00050459">
        <w:rPr>
          <w:rFonts w:ascii="Times New Roman" w:hAnsi="Times New Roman" w:cs="Times New Roman"/>
          <w:sz w:val="24"/>
          <w:szCs w:val="24"/>
        </w:rPr>
        <w:tab/>
        <w:t>)</w:t>
      </w:r>
    </w:p>
    <w:p w14:paraId="38228516" w14:textId="183BA912" w:rsidR="0067068A" w:rsidRDefault="00050459" w:rsidP="007D49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A0B93FC" w14:textId="03A15ABE" w:rsidR="008652F8" w:rsidRPr="0011386A" w:rsidRDefault="008652F8" w:rsidP="008652F8">
      <w:pPr>
        <w:spacing w:after="0"/>
        <w:rPr>
          <w:rFonts w:ascii="Times New Roman" w:hAnsi="Times New Roman" w:cs="Times New Roman"/>
          <w:sz w:val="24"/>
          <w:szCs w:val="24"/>
          <w:u w:val="single"/>
        </w:rPr>
      </w:pPr>
      <w:r w:rsidRPr="007058EF">
        <w:rPr>
          <w:rFonts w:ascii="Times New Roman" w:hAnsi="Times New Roman" w:cs="Times New Roman"/>
          <w:b/>
          <w:bCs/>
          <w:sz w:val="24"/>
          <w:szCs w:val="24"/>
        </w:rPr>
        <w:t>Erickson Senior Living LLC</w:t>
      </w:r>
      <w:r w:rsidRPr="007058EF">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1386A">
        <w:rPr>
          <w:rFonts w:ascii="Times New Roman" w:hAnsi="Times New Roman" w:cs="Times New Roman"/>
          <w:sz w:val="24"/>
          <w:szCs w:val="24"/>
        </w:rPr>
        <w:tab/>
      </w:r>
      <w:r w:rsidR="0011386A">
        <w:rPr>
          <w:rFonts w:ascii="Times New Roman" w:hAnsi="Times New Roman" w:cs="Times New Roman"/>
          <w:sz w:val="24"/>
          <w:szCs w:val="24"/>
        </w:rPr>
        <w:tab/>
        <w:t xml:space="preserve">Law No. </w:t>
      </w:r>
      <w:r w:rsidR="00410677">
        <w:rPr>
          <w:rFonts w:ascii="Times New Roman" w:hAnsi="Times New Roman" w:cs="Times New Roman"/>
          <w:sz w:val="24"/>
          <w:szCs w:val="24"/>
        </w:rPr>
        <w:t>CL22-4439</w:t>
      </w:r>
    </w:p>
    <w:p w14:paraId="26BEFB68" w14:textId="24B58DE5" w:rsidR="00B94C3F" w:rsidRDefault="00B94C3F" w:rsidP="008652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A71EB3F" w14:textId="315CF2A2" w:rsidR="00B94C3F" w:rsidRDefault="00410677" w:rsidP="008652F8">
      <w:pPr>
        <w:spacing w:after="0"/>
        <w:rPr>
          <w:rFonts w:ascii="Times New Roman" w:hAnsi="Times New Roman" w:cs="Times New Roman"/>
          <w:sz w:val="24"/>
          <w:szCs w:val="24"/>
        </w:rPr>
      </w:pPr>
      <w:r>
        <w:rPr>
          <w:rFonts w:ascii="Times New Roman" w:hAnsi="Times New Roman" w:cs="Times New Roman"/>
          <w:sz w:val="24"/>
          <w:szCs w:val="24"/>
        </w:rPr>
        <w:t>a</w:t>
      </w:r>
      <w:r w:rsidR="00B94C3F">
        <w:rPr>
          <w:rFonts w:ascii="Times New Roman" w:hAnsi="Times New Roman" w:cs="Times New Roman"/>
          <w:sz w:val="24"/>
          <w:szCs w:val="24"/>
        </w:rPr>
        <w:t>nd</w:t>
      </w:r>
      <w:r w:rsidR="00B94C3F">
        <w:rPr>
          <w:rFonts w:ascii="Times New Roman" w:hAnsi="Times New Roman" w:cs="Times New Roman"/>
          <w:sz w:val="24"/>
          <w:szCs w:val="24"/>
        </w:rPr>
        <w:tab/>
      </w:r>
      <w:r w:rsidR="00B94C3F">
        <w:rPr>
          <w:rFonts w:ascii="Times New Roman" w:hAnsi="Times New Roman" w:cs="Times New Roman"/>
          <w:sz w:val="24"/>
          <w:szCs w:val="24"/>
        </w:rPr>
        <w:tab/>
      </w:r>
      <w:r w:rsidR="00B94C3F">
        <w:rPr>
          <w:rFonts w:ascii="Times New Roman" w:hAnsi="Times New Roman" w:cs="Times New Roman"/>
          <w:sz w:val="24"/>
          <w:szCs w:val="24"/>
        </w:rPr>
        <w:tab/>
      </w:r>
      <w:r w:rsidR="00B94C3F">
        <w:rPr>
          <w:rFonts w:ascii="Times New Roman" w:hAnsi="Times New Roman" w:cs="Times New Roman"/>
          <w:sz w:val="24"/>
          <w:szCs w:val="24"/>
        </w:rPr>
        <w:tab/>
      </w:r>
      <w:r w:rsidR="00B94C3F">
        <w:rPr>
          <w:rFonts w:ascii="Times New Roman" w:hAnsi="Times New Roman" w:cs="Times New Roman"/>
          <w:sz w:val="24"/>
          <w:szCs w:val="24"/>
        </w:rPr>
        <w:tab/>
      </w:r>
      <w:r w:rsidR="00B94C3F">
        <w:rPr>
          <w:rFonts w:ascii="Times New Roman" w:hAnsi="Times New Roman" w:cs="Times New Roman"/>
          <w:sz w:val="24"/>
          <w:szCs w:val="24"/>
        </w:rPr>
        <w:tab/>
      </w:r>
      <w:r w:rsidR="00B94C3F">
        <w:rPr>
          <w:rFonts w:ascii="Times New Roman" w:hAnsi="Times New Roman" w:cs="Times New Roman"/>
          <w:sz w:val="24"/>
          <w:szCs w:val="24"/>
        </w:rPr>
        <w:tab/>
        <w:t>)</w:t>
      </w:r>
    </w:p>
    <w:p w14:paraId="22560D31" w14:textId="2A735CE1" w:rsidR="008652F8" w:rsidRDefault="002213ED" w:rsidP="008652F8">
      <w:pPr>
        <w:spacing w:after="0"/>
        <w:rPr>
          <w:rFonts w:ascii="Times New Roman" w:hAnsi="Times New Roman" w:cs="Times New Roman"/>
          <w:sz w:val="24"/>
          <w:szCs w:val="24"/>
        </w:rPr>
      </w:pPr>
      <w:r>
        <w:rPr>
          <w:rFonts w:ascii="Times New Roman" w:hAnsi="Times New Roman" w:cs="Times New Roman"/>
          <w:sz w:val="24"/>
          <w:szCs w:val="24"/>
        </w:rPr>
        <w:tab/>
      </w:r>
      <w:r w:rsidR="008652F8">
        <w:rPr>
          <w:rFonts w:ascii="Times New Roman" w:hAnsi="Times New Roman" w:cs="Times New Roman"/>
          <w:sz w:val="24"/>
          <w:szCs w:val="24"/>
        </w:rPr>
        <w:tab/>
      </w:r>
      <w:r w:rsidR="008652F8">
        <w:rPr>
          <w:rFonts w:ascii="Times New Roman" w:hAnsi="Times New Roman" w:cs="Times New Roman"/>
          <w:sz w:val="24"/>
          <w:szCs w:val="24"/>
        </w:rPr>
        <w:tab/>
      </w:r>
      <w:r w:rsidR="008652F8">
        <w:rPr>
          <w:rFonts w:ascii="Times New Roman" w:hAnsi="Times New Roman" w:cs="Times New Roman"/>
          <w:sz w:val="24"/>
          <w:szCs w:val="24"/>
        </w:rPr>
        <w:tab/>
      </w:r>
      <w:r w:rsidR="008652F8">
        <w:rPr>
          <w:rFonts w:ascii="Times New Roman" w:hAnsi="Times New Roman" w:cs="Times New Roman"/>
          <w:sz w:val="24"/>
          <w:szCs w:val="24"/>
        </w:rPr>
        <w:tab/>
      </w:r>
      <w:r w:rsidR="008652F8">
        <w:rPr>
          <w:rFonts w:ascii="Times New Roman" w:hAnsi="Times New Roman" w:cs="Times New Roman"/>
          <w:sz w:val="24"/>
          <w:szCs w:val="24"/>
        </w:rPr>
        <w:tab/>
      </w:r>
      <w:r w:rsidR="008652F8">
        <w:rPr>
          <w:rFonts w:ascii="Times New Roman" w:hAnsi="Times New Roman" w:cs="Times New Roman"/>
          <w:sz w:val="24"/>
          <w:szCs w:val="24"/>
        </w:rPr>
        <w:tab/>
        <w:t>)</w:t>
      </w:r>
    </w:p>
    <w:p w14:paraId="2082F32A" w14:textId="70BC9F63" w:rsidR="0067068A" w:rsidRDefault="00F36CA0" w:rsidP="007D49F4">
      <w:pPr>
        <w:spacing w:after="0"/>
        <w:rPr>
          <w:rFonts w:ascii="Times New Roman" w:hAnsi="Times New Roman" w:cs="Times New Roman"/>
          <w:sz w:val="24"/>
          <w:szCs w:val="24"/>
        </w:rPr>
      </w:pPr>
      <w:r w:rsidRPr="00485AE4">
        <w:rPr>
          <w:rFonts w:ascii="Times New Roman" w:hAnsi="Times New Roman" w:cs="Times New Roman"/>
          <w:b/>
          <w:bCs/>
          <w:sz w:val="24"/>
          <w:szCs w:val="24"/>
        </w:rPr>
        <w:t>Greenspring Village</w:t>
      </w:r>
      <w:r w:rsidR="00E4456F" w:rsidRPr="00485AE4">
        <w:rPr>
          <w:rFonts w:ascii="Times New Roman" w:hAnsi="Times New Roman" w:cs="Times New Roman"/>
          <w:b/>
          <w:bCs/>
          <w:sz w:val="24"/>
          <w:szCs w:val="24"/>
        </w:rPr>
        <w:t xml:space="preserve"> Inc</w:t>
      </w:r>
      <w:r w:rsidR="00E4456F">
        <w:rPr>
          <w:rFonts w:ascii="Times New Roman" w:hAnsi="Times New Roman" w:cs="Times New Roman"/>
          <w:sz w:val="24"/>
          <w:szCs w:val="24"/>
        </w:rPr>
        <w:tab/>
      </w:r>
      <w:r w:rsidR="00E4456F">
        <w:rPr>
          <w:rFonts w:ascii="Times New Roman" w:hAnsi="Times New Roman" w:cs="Times New Roman"/>
          <w:sz w:val="24"/>
          <w:szCs w:val="24"/>
        </w:rPr>
        <w:tab/>
      </w:r>
      <w:r w:rsidR="00E4456F">
        <w:rPr>
          <w:rFonts w:ascii="Times New Roman" w:hAnsi="Times New Roman" w:cs="Times New Roman"/>
          <w:sz w:val="24"/>
          <w:szCs w:val="24"/>
        </w:rPr>
        <w:tab/>
      </w:r>
      <w:r w:rsidR="00E4456F">
        <w:rPr>
          <w:rFonts w:ascii="Times New Roman" w:hAnsi="Times New Roman" w:cs="Times New Roman"/>
          <w:sz w:val="24"/>
          <w:szCs w:val="24"/>
        </w:rPr>
        <w:tab/>
        <w:t>)</w:t>
      </w:r>
    </w:p>
    <w:p w14:paraId="05D6DB79" w14:textId="70F91527" w:rsidR="00423F76" w:rsidRDefault="00410677" w:rsidP="0082071D">
      <w:pPr>
        <w:spacing w:after="0"/>
        <w:jc w:val="center"/>
        <w:rPr>
          <w:rFonts w:ascii="Times New Roman" w:hAnsi="Times New Roman" w:cs="Times New Roman"/>
          <w:sz w:val="28"/>
          <w:szCs w:val="28"/>
        </w:rPr>
      </w:pPr>
      <w:r>
        <w:rPr>
          <w:rFonts w:ascii="Times New Roman" w:hAnsi="Times New Roman" w:cs="Times New Roman"/>
          <w:sz w:val="28"/>
          <w:szCs w:val="28"/>
        </w:rPr>
        <w:tab/>
        <w:t xml:space="preserve"> )</w:t>
      </w:r>
    </w:p>
    <w:p w14:paraId="433C6AA5" w14:textId="6641B7F5" w:rsidR="00410677" w:rsidRPr="00410677" w:rsidRDefault="00410677" w:rsidP="00410677">
      <w:pPr>
        <w:spacing w:after="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p>
    <w:p w14:paraId="09464642" w14:textId="1EAD751A" w:rsidR="00B94C3F" w:rsidRDefault="00B94C3F" w:rsidP="0082071D">
      <w:pPr>
        <w:spacing w:after="0"/>
        <w:jc w:val="center"/>
        <w:rPr>
          <w:rFonts w:ascii="Times New Roman" w:hAnsi="Times New Roman" w:cs="Times New Roman"/>
          <w:b/>
          <w:bCs/>
          <w:sz w:val="28"/>
          <w:szCs w:val="28"/>
          <w:u w:val="single"/>
        </w:rPr>
      </w:pPr>
    </w:p>
    <w:p w14:paraId="7F722AB4" w14:textId="65597EDB" w:rsidR="00410677" w:rsidRPr="00410677" w:rsidRDefault="00410677" w:rsidP="0082071D">
      <w:pPr>
        <w:spacing w:after="0"/>
        <w:jc w:val="center"/>
        <w:rPr>
          <w:rFonts w:ascii="Times New Roman" w:hAnsi="Times New Roman" w:cs="Times New Roman"/>
          <w:b/>
          <w:bCs/>
          <w:sz w:val="28"/>
          <w:szCs w:val="28"/>
          <w:u w:val="single"/>
        </w:rPr>
      </w:pPr>
      <w:r w:rsidRPr="00410677">
        <w:rPr>
          <w:rFonts w:ascii="Times New Roman" w:hAnsi="Times New Roman" w:cs="Times New Roman"/>
          <w:b/>
          <w:bCs/>
          <w:sz w:val="28"/>
          <w:szCs w:val="28"/>
          <w:u w:val="single"/>
        </w:rPr>
        <w:t xml:space="preserve">Plaintiff’s Memorandum in </w:t>
      </w:r>
    </w:p>
    <w:p w14:paraId="35648554" w14:textId="53CD5DED" w:rsidR="00410677" w:rsidRPr="00410677" w:rsidRDefault="00410677" w:rsidP="0082071D">
      <w:pPr>
        <w:spacing w:after="0"/>
        <w:jc w:val="center"/>
        <w:rPr>
          <w:rFonts w:ascii="Times New Roman" w:hAnsi="Times New Roman" w:cs="Times New Roman"/>
          <w:b/>
          <w:bCs/>
          <w:sz w:val="28"/>
          <w:szCs w:val="28"/>
          <w:u w:val="single"/>
        </w:rPr>
      </w:pPr>
      <w:r w:rsidRPr="00410677">
        <w:rPr>
          <w:rFonts w:ascii="Times New Roman" w:hAnsi="Times New Roman" w:cs="Times New Roman"/>
          <w:b/>
          <w:bCs/>
          <w:sz w:val="28"/>
          <w:szCs w:val="28"/>
          <w:u w:val="single"/>
        </w:rPr>
        <w:t>Opposition to Defendants</w:t>
      </w:r>
      <w:r w:rsidR="001A14BC">
        <w:rPr>
          <w:rFonts w:ascii="Times New Roman" w:hAnsi="Times New Roman" w:cs="Times New Roman"/>
          <w:b/>
          <w:bCs/>
          <w:sz w:val="28"/>
          <w:szCs w:val="28"/>
          <w:u w:val="single"/>
        </w:rPr>
        <w:t>’</w:t>
      </w:r>
      <w:r w:rsidRPr="00410677">
        <w:rPr>
          <w:rFonts w:ascii="Times New Roman" w:hAnsi="Times New Roman" w:cs="Times New Roman"/>
          <w:b/>
          <w:bCs/>
          <w:sz w:val="28"/>
          <w:szCs w:val="28"/>
          <w:u w:val="single"/>
        </w:rPr>
        <w:t xml:space="preserve"> Demurrer</w:t>
      </w:r>
    </w:p>
    <w:p w14:paraId="143ECAD5" w14:textId="47F80A5F" w:rsidR="00410677" w:rsidRDefault="00410677" w:rsidP="0082071D">
      <w:pPr>
        <w:spacing w:after="0"/>
        <w:jc w:val="center"/>
        <w:rPr>
          <w:rFonts w:ascii="Times New Roman" w:hAnsi="Times New Roman" w:cs="Times New Roman"/>
          <w:b/>
          <w:bCs/>
          <w:sz w:val="28"/>
          <w:szCs w:val="28"/>
          <w:u w:val="single"/>
        </w:rPr>
      </w:pPr>
    </w:p>
    <w:p w14:paraId="16C6E600" w14:textId="77777777" w:rsidR="00410677" w:rsidRDefault="00410677" w:rsidP="003971BE">
      <w:pPr>
        <w:spacing w:after="0" w:line="48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COMES NOW Plaintiff, by counsel, and files, her Memorandum in Opposition to </w:t>
      </w:r>
    </w:p>
    <w:p w14:paraId="2E7B9D21" w14:textId="100A738E" w:rsidR="00B94C3F" w:rsidRDefault="00410677" w:rsidP="00410677">
      <w:pPr>
        <w:spacing w:after="0"/>
        <w:rPr>
          <w:rFonts w:ascii="Times New Roman" w:hAnsi="Times New Roman" w:cs="Times New Roman"/>
          <w:sz w:val="24"/>
          <w:szCs w:val="24"/>
        </w:rPr>
      </w:pPr>
      <w:r>
        <w:rPr>
          <w:rFonts w:ascii="Times New Roman" w:hAnsi="Times New Roman" w:cs="Times New Roman"/>
          <w:sz w:val="24"/>
          <w:szCs w:val="24"/>
        </w:rPr>
        <w:t>Defendants</w:t>
      </w:r>
      <w:r w:rsidR="003971BE">
        <w:rPr>
          <w:rFonts w:ascii="Times New Roman" w:hAnsi="Times New Roman" w:cs="Times New Roman"/>
          <w:sz w:val="24"/>
          <w:szCs w:val="24"/>
        </w:rPr>
        <w:t>’ Demurrer and in support thereof, states as follows:</w:t>
      </w:r>
    </w:p>
    <w:p w14:paraId="36EE0E4F" w14:textId="184B3FEB" w:rsidR="00410677" w:rsidRDefault="00410677" w:rsidP="003971BE">
      <w:pPr>
        <w:spacing w:after="0"/>
        <w:rPr>
          <w:rFonts w:ascii="Times New Roman" w:hAnsi="Times New Roman" w:cs="Times New Roman"/>
          <w:sz w:val="24"/>
          <w:szCs w:val="24"/>
        </w:rPr>
      </w:pPr>
    </w:p>
    <w:p w14:paraId="19DFCA8D" w14:textId="7769E0CD" w:rsidR="003971BE" w:rsidRPr="00FD2F0E" w:rsidRDefault="003971BE" w:rsidP="003971BE">
      <w:pPr>
        <w:pStyle w:val="ListParagraph"/>
        <w:numPr>
          <w:ilvl w:val="0"/>
          <w:numId w:val="27"/>
        </w:numPr>
        <w:spacing w:after="0"/>
        <w:rPr>
          <w:rFonts w:ascii="Times New Roman" w:hAnsi="Times New Roman" w:cs="Times New Roman"/>
          <w:b/>
          <w:bCs/>
          <w:sz w:val="28"/>
          <w:szCs w:val="28"/>
          <w:u w:val="single"/>
        </w:rPr>
      </w:pPr>
      <w:r>
        <w:rPr>
          <w:rFonts w:ascii="Times New Roman" w:hAnsi="Times New Roman" w:cs="Times New Roman"/>
          <w:b/>
          <w:bCs/>
          <w:sz w:val="24"/>
          <w:szCs w:val="24"/>
          <w:u w:val="single"/>
        </w:rPr>
        <w:t>Summary of Argument</w:t>
      </w:r>
    </w:p>
    <w:p w14:paraId="33E20246" w14:textId="223AB003" w:rsidR="00FD2F0E" w:rsidRDefault="00FD2F0E" w:rsidP="00FD2F0E">
      <w:pPr>
        <w:spacing w:after="0"/>
        <w:rPr>
          <w:rFonts w:ascii="Times New Roman" w:hAnsi="Times New Roman" w:cs="Times New Roman"/>
          <w:b/>
          <w:bCs/>
          <w:sz w:val="28"/>
          <w:szCs w:val="28"/>
          <w:u w:val="single"/>
        </w:rPr>
      </w:pPr>
    </w:p>
    <w:p w14:paraId="0BEAEF14" w14:textId="2D2BDA77" w:rsidR="00F35400" w:rsidRDefault="00751BC6" w:rsidP="00FD2F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Consumer Protection claims need not be pled to the standards of a common law fraud claim.  </w:t>
      </w:r>
      <w:r w:rsidR="00FD2F0E">
        <w:rPr>
          <w:rFonts w:ascii="Times New Roman" w:hAnsi="Times New Roman" w:cs="Times New Roman"/>
          <w:sz w:val="24"/>
          <w:szCs w:val="24"/>
        </w:rPr>
        <w:t xml:space="preserve">Plaintiff’s detailed complaint, in combination with the attached assisted living documents, more than satisfy Virginia’s notice pleading </w:t>
      </w:r>
      <w:r w:rsidR="00F35400">
        <w:rPr>
          <w:rFonts w:ascii="Times New Roman" w:hAnsi="Times New Roman" w:cs="Times New Roman"/>
          <w:sz w:val="24"/>
          <w:szCs w:val="24"/>
        </w:rPr>
        <w:t>requirements</w:t>
      </w:r>
      <w:r w:rsidR="00FD2F0E">
        <w:rPr>
          <w:rFonts w:ascii="Times New Roman" w:hAnsi="Times New Roman" w:cs="Times New Roman"/>
          <w:sz w:val="24"/>
          <w:szCs w:val="24"/>
        </w:rPr>
        <w:t xml:space="preserve">. </w:t>
      </w:r>
      <w:r w:rsidR="00F35400">
        <w:rPr>
          <w:rFonts w:ascii="Times New Roman" w:hAnsi="Times New Roman" w:cs="Times New Roman"/>
          <w:sz w:val="24"/>
          <w:szCs w:val="24"/>
        </w:rPr>
        <w:t xml:space="preserve">The allegations clearly put Defendants on notice as to the nature of </w:t>
      </w:r>
      <w:r w:rsidR="00DC39FF">
        <w:rPr>
          <w:rFonts w:ascii="Times New Roman" w:hAnsi="Times New Roman" w:cs="Times New Roman"/>
          <w:sz w:val="24"/>
          <w:szCs w:val="24"/>
        </w:rPr>
        <w:t>Plaintiff’s Virginia Consumer Protection Act (“VCPA”)</w:t>
      </w:r>
      <w:r w:rsidR="00F35400">
        <w:rPr>
          <w:rFonts w:ascii="Times New Roman" w:hAnsi="Times New Roman" w:cs="Times New Roman"/>
          <w:sz w:val="24"/>
          <w:szCs w:val="24"/>
        </w:rPr>
        <w:t xml:space="preserve"> claim</w:t>
      </w:r>
      <w:r w:rsidR="00AC6419">
        <w:rPr>
          <w:rFonts w:ascii="Times New Roman" w:hAnsi="Times New Roman" w:cs="Times New Roman"/>
          <w:sz w:val="24"/>
          <w:szCs w:val="24"/>
        </w:rPr>
        <w:t xml:space="preserve"> and the facts supporting </w:t>
      </w:r>
      <w:r w:rsidR="00802EB5">
        <w:rPr>
          <w:rFonts w:ascii="Times New Roman" w:hAnsi="Times New Roman" w:cs="Times New Roman"/>
          <w:sz w:val="24"/>
          <w:szCs w:val="24"/>
        </w:rPr>
        <w:t xml:space="preserve">the </w:t>
      </w:r>
      <w:r w:rsidR="00AC6419">
        <w:rPr>
          <w:rFonts w:ascii="Times New Roman" w:hAnsi="Times New Roman" w:cs="Times New Roman"/>
          <w:sz w:val="24"/>
          <w:szCs w:val="24"/>
        </w:rPr>
        <w:t xml:space="preserve">claim. </w:t>
      </w:r>
      <w:r w:rsidR="00F35400">
        <w:rPr>
          <w:rFonts w:ascii="Times New Roman" w:hAnsi="Times New Roman" w:cs="Times New Roman"/>
          <w:sz w:val="24"/>
          <w:szCs w:val="24"/>
        </w:rPr>
        <w:t xml:space="preserve">  </w:t>
      </w:r>
    </w:p>
    <w:p w14:paraId="127F5401" w14:textId="3FB66DE8" w:rsidR="00F35400" w:rsidRDefault="00F35400" w:rsidP="00FD2F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Contrary to Defendants’ assertions, the individuals who made the misrepresentation are referenced in the complaint, along with the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and specific facts supporting the </w:t>
      </w:r>
      <w:r w:rsidR="00B14451">
        <w:rPr>
          <w:rFonts w:ascii="Times New Roman" w:hAnsi="Times New Roman" w:cs="Times New Roman"/>
          <w:sz w:val="24"/>
          <w:szCs w:val="24"/>
        </w:rPr>
        <w:t>factual basis</w:t>
      </w:r>
      <w:r>
        <w:rPr>
          <w:rFonts w:ascii="Times New Roman" w:hAnsi="Times New Roman" w:cs="Times New Roman"/>
          <w:sz w:val="24"/>
          <w:szCs w:val="24"/>
        </w:rPr>
        <w:t xml:space="preserve"> for such misrepresentations</w:t>
      </w:r>
      <w:r w:rsidR="00A769FD">
        <w:rPr>
          <w:rFonts w:ascii="Times New Roman" w:hAnsi="Times New Roman" w:cs="Times New Roman"/>
          <w:sz w:val="24"/>
          <w:szCs w:val="24"/>
        </w:rPr>
        <w:t xml:space="preserve">.  </w:t>
      </w:r>
      <w:r w:rsidR="00B22A01">
        <w:rPr>
          <w:rFonts w:ascii="Times New Roman" w:hAnsi="Times New Roman" w:cs="Times New Roman"/>
          <w:sz w:val="24"/>
          <w:szCs w:val="24"/>
        </w:rPr>
        <w:t>These specific factual misrepresentations</w:t>
      </w:r>
      <w:r w:rsidR="00A769FD">
        <w:rPr>
          <w:rFonts w:ascii="Times New Roman" w:hAnsi="Times New Roman" w:cs="Times New Roman"/>
          <w:sz w:val="24"/>
          <w:szCs w:val="24"/>
        </w:rPr>
        <w:t xml:space="preserve">, when viewed in the </w:t>
      </w:r>
      <w:r w:rsidR="00A769FD">
        <w:rPr>
          <w:rFonts w:ascii="Times New Roman" w:hAnsi="Times New Roman" w:cs="Times New Roman"/>
          <w:sz w:val="24"/>
          <w:szCs w:val="24"/>
        </w:rPr>
        <w:lastRenderedPageBreak/>
        <w:t xml:space="preserve">context of Plaintiff entire complaint, </w:t>
      </w:r>
      <w:r w:rsidR="00B14451">
        <w:rPr>
          <w:rFonts w:ascii="Times New Roman" w:hAnsi="Times New Roman" w:cs="Times New Roman"/>
          <w:sz w:val="24"/>
          <w:szCs w:val="24"/>
        </w:rPr>
        <w:t xml:space="preserve">are not opinions or mere puffery.  Consistent with the intended broad reach and remedial nature of the VCPA, Virginia Courts have consistently overruled demurrers under similar factual scenarios.  </w:t>
      </w:r>
      <w:r w:rsidR="00751BC6">
        <w:rPr>
          <w:rFonts w:ascii="Times New Roman" w:hAnsi="Times New Roman" w:cs="Times New Roman"/>
          <w:sz w:val="24"/>
          <w:szCs w:val="24"/>
        </w:rPr>
        <w:t xml:space="preserve">To grant a demurrer under these circumstances would </w:t>
      </w:r>
      <w:r w:rsidR="00B22A01">
        <w:rPr>
          <w:rFonts w:ascii="Times New Roman" w:hAnsi="Times New Roman" w:cs="Times New Roman"/>
          <w:sz w:val="24"/>
          <w:szCs w:val="24"/>
        </w:rPr>
        <w:t>interject reversible</w:t>
      </w:r>
      <w:r w:rsidR="00DC39FF">
        <w:rPr>
          <w:rFonts w:ascii="Times New Roman" w:hAnsi="Times New Roman" w:cs="Times New Roman"/>
          <w:sz w:val="24"/>
          <w:szCs w:val="24"/>
        </w:rPr>
        <w:t xml:space="preserve"> </w:t>
      </w:r>
      <w:r w:rsidR="00751BC6">
        <w:rPr>
          <w:rFonts w:ascii="Times New Roman" w:hAnsi="Times New Roman" w:cs="Times New Roman"/>
          <w:sz w:val="24"/>
          <w:szCs w:val="24"/>
        </w:rPr>
        <w:t>error in this case</w:t>
      </w:r>
      <w:r w:rsidR="00471BC8">
        <w:rPr>
          <w:rFonts w:ascii="Times New Roman" w:hAnsi="Times New Roman" w:cs="Times New Roman"/>
          <w:sz w:val="24"/>
          <w:szCs w:val="24"/>
        </w:rPr>
        <w:t xml:space="preserve"> and contravene the very purpose of the VCPA</w:t>
      </w:r>
      <w:r w:rsidR="00751BC6">
        <w:rPr>
          <w:rFonts w:ascii="Times New Roman" w:hAnsi="Times New Roman" w:cs="Times New Roman"/>
          <w:sz w:val="24"/>
          <w:szCs w:val="24"/>
        </w:rPr>
        <w:t xml:space="preserve">.  </w:t>
      </w:r>
    </w:p>
    <w:p w14:paraId="6CCE0B89" w14:textId="53240887" w:rsidR="003971BE" w:rsidRPr="009A5DBE" w:rsidRDefault="003971BE" w:rsidP="003971BE">
      <w:pPr>
        <w:pStyle w:val="ListParagraph"/>
        <w:numPr>
          <w:ilvl w:val="0"/>
          <w:numId w:val="27"/>
        </w:numPr>
        <w:spacing w:after="0"/>
        <w:rPr>
          <w:rFonts w:ascii="Times New Roman" w:hAnsi="Times New Roman" w:cs="Times New Roman"/>
          <w:b/>
          <w:bCs/>
          <w:sz w:val="24"/>
          <w:szCs w:val="24"/>
          <w:u w:val="single"/>
        </w:rPr>
      </w:pPr>
      <w:r w:rsidRPr="009A5DBE">
        <w:rPr>
          <w:rFonts w:ascii="Times New Roman" w:hAnsi="Times New Roman" w:cs="Times New Roman"/>
          <w:b/>
          <w:bCs/>
          <w:sz w:val="24"/>
          <w:szCs w:val="24"/>
          <w:u w:val="single"/>
        </w:rPr>
        <w:t>Argument</w:t>
      </w:r>
    </w:p>
    <w:p w14:paraId="6D92CF2B" w14:textId="77777777" w:rsidR="00410677" w:rsidRDefault="00410677" w:rsidP="00410677">
      <w:pPr>
        <w:spacing w:after="0"/>
        <w:rPr>
          <w:rFonts w:ascii="Times New Roman" w:hAnsi="Times New Roman" w:cs="Times New Roman"/>
          <w:b/>
          <w:bCs/>
          <w:sz w:val="28"/>
          <w:szCs w:val="28"/>
          <w:u w:val="single"/>
        </w:rPr>
      </w:pPr>
    </w:p>
    <w:p w14:paraId="2F0AFD75" w14:textId="77777777" w:rsidR="00423F76" w:rsidRPr="00423F76" w:rsidRDefault="00423F76" w:rsidP="00423F76">
      <w:pPr>
        <w:widowControl w:val="0"/>
        <w:numPr>
          <w:ilvl w:val="0"/>
          <w:numId w:val="22"/>
        </w:numPr>
        <w:tabs>
          <w:tab w:val="left" w:pos="-2160"/>
          <w:tab w:val="left" w:pos="-1440"/>
          <w:tab w:val="left" w:pos="-720"/>
        </w:tabs>
        <w:suppressAutoHyphens/>
        <w:autoSpaceDE w:val="0"/>
        <w:autoSpaceDN w:val="0"/>
        <w:adjustRightInd w:val="0"/>
        <w:spacing w:after="240" w:line="240" w:lineRule="auto"/>
        <w:rPr>
          <w:rFonts w:ascii="Times New Roman" w:eastAsia="Calibri" w:hAnsi="Times New Roman" w:cs="Times New Roman"/>
          <w:b/>
          <w:sz w:val="24"/>
          <w:szCs w:val="24"/>
          <w:u w:val="single"/>
        </w:rPr>
      </w:pPr>
      <w:r w:rsidRPr="00423F76">
        <w:rPr>
          <w:rFonts w:ascii="Times New Roman" w:eastAsia="Calibri" w:hAnsi="Times New Roman" w:cs="Times New Roman"/>
          <w:b/>
          <w:sz w:val="24"/>
          <w:szCs w:val="24"/>
          <w:u w:val="single"/>
        </w:rPr>
        <w:t>The Standard for a Demurrer</w:t>
      </w:r>
    </w:p>
    <w:p w14:paraId="024A39BA" w14:textId="4923258B" w:rsidR="00410677" w:rsidRDefault="00423F76" w:rsidP="00423F76">
      <w:pPr>
        <w:suppressAutoHyphens/>
        <w:spacing w:after="0" w:line="480" w:lineRule="auto"/>
        <w:ind w:firstLine="720"/>
        <w:rPr>
          <w:rFonts w:ascii="Times New Roman" w:eastAsia="Times New Roman" w:hAnsi="Times New Roman" w:cs="Times New Roman"/>
          <w:sz w:val="24"/>
          <w:szCs w:val="20"/>
        </w:rPr>
      </w:pPr>
      <w:r w:rsidRPr="00423F76">
        <w:rPr>
          <w:rFonts w:ascii="Times New Roman" w:eastAsia="Calibri" w:hAnsi="Times New Roman" w:cs="Times New Roman"/>
          <w:sz w:val="24"/>
          <w:szCs w:val="24"/>
        </w:rPr>
        <w:t>Due to the preliminary nature of the demurrer, the Supreme Court of Virginia has expressed a desire that trial courts refrain from incorrectly “short-circuit[</w:t>
      </w:r>
      <w:proofErr w:type="spellStart"/>
      <w:r w:rsidRPr="00423F76">
        <w:rPr>
          <w:rFonts w:ascii="Times New Roman" w:eastAsia="Calibri" w:hAnsi="Times New Roman" w:cs="Times New Roman"/>
          <w:sz w:val="24"/>
          <w:szCs w:val="24"/>
        </w:rPr>
        <w:t>ing</w:t>
      </w:r>
      <w:proofErr w:type="spellEnd"/>
      <w:r w:rsidRPr="00423F76">
        <w:rPr>
          <w:rFonts w:ascii="Times New Roman" w:eastAsia="Calibri" w:hAnsi="Times New Roman" w:cs="Times New Roman"/>
          <w:sz w:val="24"/>
          <w:szCs w:val="24"/>
        </w:rPr>
        <w:t xml:space="preserve">] litigation pretrial.” </w:t>
      </w:r>
      <w:hyperlink r:id="rId8" w:tgtFrame="_top" w:history="1">
        <w:proofErr w:type="spellStart"/>
        <w:r w:rsidRPr="00423F76">
          <w:rPr>
            <w:rFonts w:ascii="Times New Roman" w:eastAsia="Calibri" w:hAnsi="Times New Roman" w:cs="Times New Roman"/>
            <w:i/>
            <w:iCs/>
            <w:sz w:val="24"/>
            <w:szCs w:val="24"/>
          </w:rPr>
          <w:t>Catercrop</w:t>
        </w:r>
        <w:proofErr w:type="spellEnd"/>
        <w:r w:rsidRPr="00423F76">
          <w:rPr>
            <w:rFonts w:ascii="Times New Roman" w:eastAsia="Calibri" w:hAnsi="Times New Roman" w:cs="Times New Roman"/>
            <w:i/>
            <w:iCs/>
            <w:sz w:val="24"/>
            <w:szCs w:val="24"/>
          </w:rPr>
          <w:t>, Inc. v. Catering Concepts, Inc.,</w:t>
        </w:r>
        <w:r w:rsidRPr="00423F76">
          <w:rPr>
            <w:rFonts w:ascii="Times New Roman" w:eastAsia="Calibri" w:hAnsi="Times New Roman" w:cs="Times New Roman"/>
            <w:sz w:val="24"/>
            <w:szCs w:val="24"/>
          </w:rPr>
          <w:t xml:space="preserve"> 246 Va. 22, 24, 431 S.E.2d 277 (1993)</w:t>
        </w:r>
      </w:hyperlink>
      <w:r w:rsidRPr="00423F76">
        <w:rPr>
          <w:rFonts w:ascii="Times New Roman" w:eastAsia="Calibri" w:hAnsi="Times New Roman" w:cs="Times New Roman"/>
          <w:sz w:val="24"/>
          <w:szCs w:val="24"/>
        </w:rPr>
        <w:t xml:space="preserve"> (quoting </w:t>
      </w:r>
      <w:hyperlink r:id="rId9" w:tgtFrame="_top" w:history="1">
        <w:r w:rsidRPr="00423F76">
          <w:rPr>
            <w:rFonts w:ascii="Times New Roman" w:eastAsia="Calibri" w:hAnsi="Times New Roman" w:cs="Times New Roman"/>
            <w:i/>
            <w:iCs/>
            <w:sz w:val="24"/>
            <w:szCs w:val="24"/>
          </w:rPr>
          <w:t>Renner v. Stafford,</w:t>
        </w:r>
        <w:r w:rsidRPr="00423F76">
          <w:rPr>
            <w:rFonts w:ascii="Times New Roman" w:eastAsia="Calibri" w:hAnsi="Times New Roman" w:cs="Times New Roman"/>
            <w:sz w:val="24"/>
            <w:szCs w:val="24"/>
          </w:rPr>
          <w:t xml:space="preserve"> 245 Va. 351, 352, 429 S.E.2d 218 (1993)</w:t>
        </w:r>
      </w:hyperlink>
      <w:r w:rsidRPr="00423F76">
        <w:rPr>
          <w:rFonts w:ascii="Times New Roman" w:eastAsia="Calibri" w:hAnsi="Times New Roman" w:cs="Times New Roman"/>
          <w:sz w:val="24"/>
          <w:szCs w:val="24"/>
        </w:rPr>
        <w:t xml:space="preserve">).  </w:t>
      </w:r>
      <w:bookmarkStart w:id="0" w:name="_Hlk17188248"/>
      <w:r w:rsidRPr="00423F76">
        <w:rPr>
          <w:rFonts w:ascii="Times New Roman" w:eastAsia="Times New Roman" w:hAnsi="Times New Roman" w:cs="Times New Roman"/>
          <w:color w:val="000000"/>
        </w:rPr>
        <w:t>S</w:t>
      </w:r>
      <w:r w:rsidRPr="00423F76">
        <w:rPr>
          <w:rFonts w:ascii="Times New Roman" w:eastAsia="Times New Roman" w:hAnsi="Times New Roman" w:cs="Times New Roman"/>
          <w:sz w:val="24"/>
          <w:szCs w:val="20"/>
        </w:rPr>
        <w:t xml:space="preserve">ince a demurrer goes to the whole pleading to which it is addressed, </w:t>
      </w:r>
      <w:r w:rsidRPr="00423F76">
        <w:rPr>
          <w:rFonts w:ascii="Times New Roman" w:eastAsia="Times New Roman" w:hAnsi="Times New Roman" w:cs="Times New Roman"/>
          <w:b/>
          <w:sz w:val="24"/>
          <w:szCs w:val="20"/>
        </w:rPr>
        <w:t xml:space="preserve">it should be overruled if any part of the pleading is good in substance.  </w:t>
      </w:r>
      <w:r w:rsidRPr="00423F76">
        <w:rPr>
          <w:rFonts w:ascii="Times New Roman" w:eastAsia="Times New Roman" w:hAnsi="Times New Roman" w:cs="Times New Roman"/>
          <w:i/>
          <w:sz w:val="24"/>
          <w:szCs w:val="20"/>
        </w:rPr>
        <w:t>See</w:t>
      </w:r>
      <w:r w:rsidRPr="00423F76">
        <w:rPr>
          <w:rFonts w:ascii="Times New Roman" w:eastAsia="Times New Roman" w:hAnsi="Times New Roman" w:cs="Times New Roman"/>
          <w:b/>
          <w:i/>
          <w:sz w:val="24"/>
          <w:szCs w:val="20"/>
        </w:rPr>
        <w:t xml:space="preserve"> </w:t>
      </w:r>
      <w:r w:rsidRPr="00423F76">
        <w:rPr>
          <w:rFonts w:ascii="Times New Roman" w:eastAsia="Times New Roman" w:hAnsi="Times New Roman" w:cs="Times New Roman"/>
          <w:i/>
          <w:sz w:val="24"/>
          <w:szCs w:val="20"/>
        </w:rPr>
        <w:t>Virginia &amp; N. C. Wheel Co. v. Harris</w:t>
      </w:r>
      <w:r w:rsidRPr="00423F76">
        <w:rPr>
          <w:rFonts w:ascii="Times New Roman" w:eastAsia="Times New Roman" w:hAnsi="Times New Roman" w:cs="Times New Roman"/>
          <w:sz w:val="24"/>
          <w:szCs w:val="20"/>
        </w:rPr>
        <w:t xml:space="preserve">, 103 Va. 708, 49 S.E. 991 (1905) (emphasis added). </w:t>
      </w:r>
      <w:r w:rsidR="00910996">
        <w:rPr>
          <w:rFonts w:ascii="Times New Roman" w:eastAsia="Times New Roman" w:hAnsi="Times New Roman" w:cs="Times New Roman"/>
          <w:sz w:val="24"/>
          <w:szCs w:val="20"/>
        </w:rPr>
        <w:t xml:space="preserve"> </w:t>
      </w:r>
      <w:r w:rsidR="00471BC8">
        <w:rPr>
          <w:rFonts w:ascii="Times New Roman" w:eastAsia="Times New Roman" w:hAnsi="Times New Roman" w:cs="Times New Roman"/>
          <w:sz w:val="24"/>
          <w:szCs w:val="20"/>
        </w:rPr>
        <w:t xml:space="preserve">As such, if any of the multiple factual misrepresentations are found to be sufficient, this demurrer must be denied.  </w:t>
      </w:r>
      <w:r w:rsidR="00910996">
        <w:rPr>
          <w:rFonts w:ascii="Times New Roman" w:eastAsia="Times New Roman" w:hAnsi="Times New Roman" w:cs="Times New Roman"/>
          <w:sz w:val="24"/>
          <w:szCs w:val="20"/>
        </w:rPr>
        <w:t xml:space="preserve">The Court may also consider any exhibits referenced in the pleadings. </w:t>
      </w:r>
      <w:proofErr w:type="spellStart"/>
      <w:r w:rsidR="00910996" w:rsidRPr="00910996">
        <w:rPr>
          <w:rFonts w:ascii="Times New Roman" w:eastAsia="Times New Roman" w:hAnsi="Times New Roman" w:cs="Times New Roman"/>
          <w:i/>
          <w:iCs/>
          <w:sz w:val="24"/>
          <w:szCs w:val="20"/>
        </w:rPr>
        <w:t>Flippo</w:t>
      </w:r>
      <w:proofErr w:type="spellEnd"/>
      <w:r w:rsidR="00910996" w:rsidRPr="00910996">
        <w:rPr>
          <w:rFonts w:ascii="Times New Roman" w:eastAsia="Times New Roman" w:hAnsi="Times New Roman" w:cs="Times New Roman"/>
          <w:i/>
          <w:iCs/>
          <w:sz w:val="24"/>
          <w:szCs w:val="20"/>
        </w:rPr>
        <w:t xml:space="preserve"> v. F &amp; L Land Co</w:t>
      </w:r>
      <w:r w:rsidR="00910996">
        <w:rPr>
          <w:rFonts w:ascii="Times New Roman" w:eastAsia="Times New Roman" w:hAnsi="Times New Roman" w:cs="Times New Roman"/>
          <w:sz w:val="24"/>
          <w:szCs w:val="20"/>
        </w:rPr>
        <w:t xml:space="preserve">, 241 Va. 15, 16 (1991). </w:t>
      </w:r>
    </w:p>
    <w:p w14:paraId="53AA2D39" w14:textId="53F23ED5" w:rsidR="00423F76" w:rsidRDefault="003971BE" w:rsidP="00B15F2A">
      <w:pPr>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0"/>
        </w:rPr>
        <w:t>Defendants</w:t>
      </w:r>
      <w:r w:rsidR="00AE0385">
        <w:rPr>
          <w:rFonts w:ascii="Times New Roman" w:eastAsia="Times New Roman" w:hAnsi="Times New Roman" w:cs="Times New Roman"/>
          <w:sz w:val="24"/>
          <w:szCs w:val="20"/>
        </w:rPr>
        <w:t xml:space="preserve"> have filed a demurrer a</w:t>
      </w:r>
      <w:r w:rsidR="00935EED">
        <w:rPr>
          <w:rFonts w:ascii="Times New Roman" w:eastAsia="Times New Roman" w:hAnsi="Times New Roman" w:cs="Times New Roman"/>
          <w:sz w:val="24"/>
          <w:szCs w:val="20"/>
        </w:rPr>
        <w:t xml:space="preserve">s to </w:t>
      </w:r>
      <w:r w:rsidR="00AE0385">
        <w:rPr>
          <w:rFonts w:ascii="Times New Roman" w:eastAsia="Times New Roman" w:hAnsi="Times New Roman" w:cs="Times New Roman"/>
          <w:sz w:val="24"/>
          <w:szCs w:val="20"/>
        </w:rPr>
        <w:t>Count II, Plaintiff’s claim under the V</w:t>
      </w:r>
      <w:r w:rsidR="00802EB5">
        <w:rPr>
          <w:rFonts w:ascii="Times New Roman" w:eastAsia="Times New Roman" w:hAnsi="Times New Roman" w:cs="Times New Roman"/>
          <w:sz w:val="24"/>
          <w:szCs w:val="20"/>
        </w:rPr>
        <w:t>CPA</w:t>
      </w:r>
      <w:r w:rsidR="00AE0385">
        <w:rPr>
          <w:rFonts w:ascii="Times New Roman" w:eastAsia="Times New Roman" w:hAnsi="Times New Roman" w:cs="Times New Roman"/>
          <w:sz w:val="24"/>
          <w:szCs w:val="20"/>
        </w:rPr>
        <w:t>.  The</w:t>
      </w:r>
      <w:r w:rsidR="00802EB5">
        <w:rPr>
          <w:rFonts w:ascii="Times New Roman" w:eastAsia="Times New Roman" w:hAnsi="Times New Roman" w:cs="Times New Roman"/>
          <w:sz w:val="24"/>
          <w:szCs w:val="20"/>
        </w:rPr>
        <w:t xml:space="preserve">y argue </w:t>
      </w:r>
      <w:r>
        <w:rPr>
          <w:rFonts w:ascii="Times New Roman" w:eastAsia="Times New Roman" w:hAnsi="Times New Roman" w:cs="Times New Roman"/>
          <w:sz w:val="24"/>
          <w:szCs w:val="20"/>
        </w:rPr>
        <w:t>that Plaintiff’s complaint “fails to allege facts with the requisite specificity, including the identify of agents, officers and employees</w:t>
      </w:r>
      <w:r w:rsidR="000E5C08">
        <w:rPr>
          <w:rFonts w:ascii="Times New Roman" w:eastAsia="Times New Roman" w:hAnsi="Times New Roman" w:cs="Times New Roman"/>
          <w:sz w:val="24"/>
          <w:szCs w:val="20"/>
        </w:rPr>
        <w:t xml:space="preserve"> of Defendants who are alleged to have made allegedly misleading statements and the details of time and place.” (Demurrer at p. 7).  They also argue Plaintiff fails to allege statements of existing fact</w:t>
      </w:r>
      <w:r w:rsidR="00B15F2A">
        <w:rPr>
          <w:rFonts w:ascii="Times New Roman" w:eastAsia="Times New Roman" w:hAnsi="Times New Roman" w:cs="Times New Roman"/>
          <w:sz w:val="24"/>
          <w:szCs w:val="20"/>
        </w:rPr>
        <w:t xml:space="preserve"> or that the misleading statements were made to </w:t>
      </w:r>
      <w:r w:rsidR="00B15F2A">
        <w:rPr>
          <w:rFonts w:ascii="Times New Roman" w:eastAsia="Times New Roman" w:hAnsi="Times New Roman" w:cs="Times New Roman"/>
          <w:sz w:val="24"/>
          <w:szCs w:val="20"/>
        </w:rPr>
        <w:lastRenderedPageBreak/>
        <w:t xml:space="preserve">Plaintiff.  Defendants do not argue that a </w:t>
      </w:r>
      <w:r w:rsidR="00910996">
        <w:rPr>
          <w:rFonts w:ascii="Times New Roman" w:eastAsia="Times New Roman" w:hAnsi="Times New Roman" w:cs="Times New Roman"/>
          <w:sz w:val="24"/>
          <w:szCs w:val="20"/>
        </w:rPr>
        <w:t xml:space="preserve">VCPA claim </w:t>
      </w:r>
      <w:r w:rsidR="00B15F2A">
        <w:rPr>
          <w:rFonts w:ascii="Times New Roman" w:eastAsia="Times New Roman" w:hAnsi="Times New Roman" w:cs="Times New Roman"/>
          <w:sz w:val="24"/>
          <w:szCs w:val="20"/>
        </w:rPr>
        <w:t>cannot be maintained against an assisted living facility.</w:t>
      </w:r>
      <w:r w:rsidR="00423F76" w:rsidRPr="00423F76">
        <w:rPr>
          <w:rFonts w:ascii="Times New Roman" w:eastAsia="Times New Roman" w:hAnsi="Times New Roman" w:cs="Times New Roman"/>
          <w:sz w:val="24"/>
          <w:szCs w:val="24"/>
          <w:vertAlign w:val="superscript"/>
        </w:rPr>
        <w:footnoteReference w:id="1"/>
      </w:r>
      <w:r w:rsidR="00423F76" w:rsidRPr="00423F76">
        <w:rPr>
          <w:rFonts w:ascii="Times New Roman" w:eastAsia="Times New Roman" w:hAnsi="Times New Roman" w:cs="Times New Roman"/>
          <w:sz w:val="24"/>
          <w:szCs w:val="24"/>
        </w:rPr>
        <w:t xml:space="preserve">  </w:t>
      </w:r>
    </w:p>
    <w:p w14:paraId="529D8696" w14:textId="257E36F0" w:rsidR="00232E41" w:rsidRPr="00B14451" w:rsidRDefault="00232E41" w:rsidP="00232E41">
      <w:pPr>
        <w:pStyle w:val="ListParagraph"/>
        <w:numPr>
          <w:ilvl w:val="0"/>
          <w:numId w:val="22"/>
        </w:numPr>
        <w:spacing w:after="0" w:line="480" w:lineRule="auto"/>
        <w:rPr>
          <w:rFonts w:ascii="Times New Roman" w:eastAsia="Times New Roman" w:hAnsi="Times New Roman" w:cs="Times New Roman"/>
          <w:b/>
          <w:bCs/>
          <w:sz w:val="24"/>
          <w:szCs w:val="24"/>
          <w:u w:val="single"/>
        </w:rPr>
      </w:pPr>
      <w:r w:rsidRPr="00B14451">
        <w:rPr>
          <w:rFonts w:ascii="Times New Roman" w:eastAsia="Times New Roman" w:hAnsi="Times New Roman" w:cs="Times New Roman"/>
          <w:b/>
          <w:bCs/>
          <w:sz w:val="24"/>
          <w:szCs w:val="24"/>
          <w:u w:val="single"/>
        </w:rPr>
        <w:t>Pleading Requirements of Common law Fraud Do Not Apply to VCPA claims</w:t>
      </w:r>
    </w:p>
    <w:p w14:paraId="5CC81421" w14:textId="4D46EB13" w:rsidR="00471BC8" w:rsidRPr="00471BC8" w:rsidRDefault="00471BC8" w:rsidP="00471BC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t>
      </w:r>
      <w:r w:rsidRPr="00471BC8">
        <w:rPr>
          <w:rFonts w:ascii="Times New Roman" w:eastAsia="Times New Roman" w:hAnsi="Times New Roman" w:cs="Times New Roman"/>
          <w:sz w:val="24"/>
          <w:szCs w:val="24"/>
        </w:rPr>
        <w:t xml:space="preserve">VCPA is remedial in nature, it should be liberally applied, not narrowly construed. See, </w:t>
      </w:r>
      <w:r w:rsidRPr="00471BC8">
        <w:rPr>
          <w:rFonts w:ascii="Times New Roman" w:eastAsia="Times New Roman" w:hAnsi="Times New Roman" w:cs="Times New Roman"/>
          <w:i/>
          <w:iCs/>
          <w:sz w:val="24"/>
          <w:szCs w:val="24"/>
        </w:rPr>
        <w:t>Holmes v. LG Marion Corp</w:t>
      </w:r>
      <w:r w:rsidRPr="00471BC8">
        <w:rPr>
          <w:rFonts w:ascii="Times New Roman" w:eastAsia="Times New Roman" w:hAnsi="Times New Roman" w:cs="Times New Roman"/>
          <w:sz w:val="24"/>
          <w:szCs w:val="24"/>
        </w:rPr>
        <w:t xml:space="preserve">., 521 S.E.2d 528, 258 Va. 473 (1999). </w:t>
      </w:r>
    </w:p>
    <w:p w14:paraId="0040F992" w14:textId="7C80FE59" w:rsidR="00232E41" w:rsidRPr="00423F76" w:rsidRDefault="00232E41" w:rsidP="00232E41">
      <w:pPr>
        <w:widowControl w:val="0"/>
        <w:autoSpaceDE w:val="0"/>
        <w:autoSpaceDN w:val="0"/>
        <w:adjustRightInd w:val="0"/>
        <w:spacing w:after="0" w:line="480" w:lineRule="auto"/>
        <w:ind w:firstLine="720"/>
        <w:jc w:val="both"/>
        <w:rPr>
          <w:rFonts w:ascii="Times New Roman" w:eastAsia="Times New Roman" w:hAnsi="Times New Roman" w:cs="Times New Roman"/>
          <w:color w:val="212121"/>
          <w:sz w:val="24"/>
          <w:szCs w:val="24"/>
        </w:rPr>
      </w:pPr>
      <w:r w:rsidRPr="00423F76">
        <w:rPr>
          <w:rFonts w:ascii="Times New Roman" w:eastAsia="Times New Roman" w:hAnsi="Times New Roman" w:cs="Times New Roman"/>
          <w:sz w:val="24"/>
          <w:szCs w:val="24"/>
        </w:rPr>
        <w:t xml:space="preserve">When considering Defendants’ Demurrer, it is important to recognize that a cause of action for deceptive practices under the VCPA is analytically distinct from a common law fraud action, both substantively and procedurally.  </w:t>
      </w:r>
      <w:r w:rsidRPr="00423F76">
        <w:rPr>
          <w:rFonts w:ascii="Times New Roman" w:eastAsia="Times New Roman" w:hAnsi="Times New Roman" w:cs="Times New Roman"/>
          <w:i/>
          <w:sz w:val="24"/>
          <w:szCs w:val="24"/>
        </w:rPr>
        <w:t>See, e.g.</w:t>
      </w:r>
      <w:r w:rsidRPr="00423F76">
        <w:rPr>
          <w:rFonts w:ascii="Times New Roman" w:eastAsia="Times New Roman" w:hAnsi="Times New Roman" w:cs="Times New Roman"/>
          <w:sz w:val="24"/>
          <w:szCs w:val="24"/>
        </w:rPr>
        <w:t xml:space="preserve">, </w:t>
      </w:r>
      <w:proofErr w:type="spellStart"/>
      <w:r w:rsidRPr="00423F76">
        <w:rPr>
          <w:rFonts w:ascii="Times New Roman" w:eastAsia="Times New Roman" w:hAnsi="Times New Roman" w:cs="Times New Roman"/>
          <w:i/>
          <w:sz w:val="24"/>
          <w:szCs w:val="24"/>
        </w:rPr>
        <w:t>Ballagh</w:t>
      </w:r>
      <w:proofErr w:type="spellEnd"/>
      <w:r w:rsidRPr="00423F76">
        <w:rPr>
          <w:rFonts w:ascii="Times New Roman" w:eastAsia="Times New Roman" w:hAnsi="Times New Roman" w:cs="Times New Roman"/>
          <w:i/>
          <w:sz w:val="24"/>
          <w:szCs w:val="24"/>
        </w:rPr>
        <w:t xml:space="preserve"> v. </w:t>
      </w:r>
      <w:proofErr w:type="spellStart"/>
      <w:r w:rsidRPr="00423F76">
        <w:rPr>
          <w:rFonts w:ascii="Times New Roman" w:eastAsia="Times New Roman" w:hAnsi="Times New Roman" w:cs="Times New Roman"/>
          <w:i/>
          <w:sz w:val="24"/>
          <w:szCs w:val="24"/>
        </w:rPr>
        <w:t>Fauber</w:t>
      </w:r>
      <w:proofErr w:type="spellEnd"/>
      <w:r w:rsidRPr="00423F76">
        <w:rPr>
          <w:rFonts w:ascii="Times New Roman" w:eastAsia="Times New Roman" w:hAnsi="Times New Roman" w:cs="Times New Roman"/>
          <w:i/>
          <w:sz w:val="24"/>
          <w:szCs w:val="24"/>
        </w:rPr>
        <w:t xml:space="preserve"> Enterprises, Inc</w:t>
      </w:r>
      <w:r w:rsidRPr="00423F76">
        <w:rPr>
          <w:rFonts w:ascii="Times New Roman" w:eastAsia="Times New Roman" w:hAnsi="Times New Roman" w:cs="Times New Roman"/>
          <w:sz w:val="24"/>
          <w:szCs w:val="24"/>
        </w:rPr>
        <w:t>., 290 Va. 120, 124 (2015) (holding that “The VCPA creates a new, statutory cause of action that is distinct from and in addition to common law fraud.”).  As t</w:t>
      </w:r>
      <w:r w:rsidRPr="00423F76">
        <w:rPr>
          <w:rFonts w:ascii="Times New Roman" w:eastAsia="Times New Roman" w:hAnsi="Times New Roman" w:cs="Times New Roman"/>
          <w:color w:val="252525"/>
          <w:sz w:val="24"/>
          <w:szCs w:val="24"/>
        </w:rPr>
        <w:t xml:space="preserve">he Court explained in </w:t>
      </w:r>
      <w:r w:rsidRPr="00423F76">
        <w:rPr>
          <w:rFonts w:ascii="Times New Roman" w:eastAsia="Times New Roman" w:hAnsi="Times New Roman" w:cs="Times New Roman"/>
          <w:i/>
          <w:color w:val="252525"/>
          <w:sz w:val="24"/>
          <w:szCs w:val="24"/>
        </w:rPr>
        <w:t xml:space="preserve">Owens v. DRS Automotive </w:t>
      </w:r>
      <w:proofErr w:type="spellStart"/>
      <w:r w:rsidRPr="00423F76">
        <w:rPr>
          <w:rFonts w:ascii="Times New Roman" w:eastAsia="Times New Roman" w:hAnsi="Times New Roman" w:cs="Times New Roman"/>
          <w:i/>
          <w:color w:val="252525"/>
          <w:sz w:val="24"/>
          <w:szCs w:val="24"/>
        </w:rPr>
        <w:t>Fantomworks</w:t>
      </w:r>
      <w:proofErr w:type="spellEnd"/>
      <w:r w:rsidRPr="00423F76">
        <w:rPr>
          <w:rFonts w:ascii="Times New Roman" w:eastAsia="Times New Roman" w:hAnsi="Times New Roman" w:cs="Times New Roman"/>
          <w:i/>
          <w:color w:val="252525"/>
          <w:sz w:val="24"/>
          <w:szCs w:val="24"/>
        </w:rPr>
        <w:t>, Inc</w:t>
      </w:r>
      <w:r w:rsidRPr="00423F76">
        <w:rPr>
          <w:rFonts w:ascii="Times New Roman" w:eastAsia="Times New Roman" w:hAnsi="Times New Roman" w:cs="Times New Roman"/>
          <w:color w:val="252525"/>
          <w:sz w:val="24"/>
          <w:szCs w:val="24"/>
        </w:rPr>
        <w:t xml:space="preserve">., </w:t>
      </w:r>
      <w:r w:rsidRPr="00423F76">
        <w:rPr>
          <w:rFonts w:ascii="Times New Roman" w:eastAsia="Times New Roman" w:hAnsi="Times New Roman" w:cs="Times New Roman"/>
          <w:color w:val="212121"/>
          <w:sz w:val="24"/>
          <w:szCs w:val="24"/>
        </w:rPr>
        <w:t xml:space="preserve">288 Va. 489 (2014), </w:t>
      </w:r>
      <w:r w:rsidRPr="00423F76">
        <w:rPr>
          <w:rFonts w:ascii="Times New Roman" w:eastAsia="Times New Roman" w:hAnsi="Times New Roman" w:cs="Times New Roman"/>
          <w:color w:val="252525"/>
          <w:sz w:val="24"/>
          <w:szCs w:val="24"/>
        </w:rPr>
        <w:t>a claim under the VCPA is not the same as a common law fraud claim</w:t>
      </w:r>
      <w:r w:rsidRPr="00423F76">
        <w:rPr>
          <w:rFonts w:ascii="Times New Roman" w:eastAsia="Times New Roman" w:hAnsi="Times New Roman" w:cs="Times New Roman"/>
          <w:color w:val="212121"/>
          <w:sz w:val="24"/>
          <w:szCs w:val="24"/>
        </w:rPr>
        <w:t xml:space="preserve">:  </w:t>
      </w:r>
    </w:p>
    <w:p w14:paraId="57B2F7AE" w14:textId="77777777" w:rsidR="00232E41" w:rsidRPr="00423F76" w:rsidRDefault="00232E41" w:rsidP="00232E41">
      <w:pPr>
        <w:widowControl w:val="0"/>
        <w:autoSpaceDE w:val="0"/>
        <w:autoSpaceDN w:val="0"/>
        <w:adjustRightInd w:val="0"/>
        <w:spacing w:after="0" w:line="240" w:lineRule="auto"/>
        <w:ind w:left="720" w:right="1440"/>
        <w:jc w:val="both"/>
        <w:rPr>
          <w:rFonts w:ascii="Times New Roman" w:eastAsia="Times New Roman" w:hAnsi="Times New Roman" w:cs="Times New Roman"/>
          <w:color w:val="212121"/>
          <w:sz w:val="24"/>
          <w:szCs w:val="24"/>
        </w:rPr>
      </w:pPr>
      <w:r w:rsidRPr="00423F76">
        <w:rPr>
          <w:rFonts w:ascii="Times New Roman" w:eastAsia="Times New Roman" w:hAnsi="Times New Roman" w:cs="Times New Roman"/>
          <w:color w:val="212121"/>
          <w:sz w:val="24"/>
          <w:szCs w:val="24"/>
        </w:rPr>
        <w:t xml:space="preserve">Proof of fraud in a consumer transaction is alone sufficient to establish a violation of the VCPA, </w:t>
      </w:r>
      <w:r w:rsidRPr="00423F76">
        <w:rPr>
          <w:rFonts w:ascii="Times New Roman" w:eastAsia="Times New Roman" w:hAnsi="Times New Roman" w:cs="Times New Roman"/>
          <w:bCs/>
          <w:color w:val="212121"/>
          <w:sz w:val="24"/>
          <w:szCs w:val="24"/>
        </w:rPr>
        <w:t xml:space="preserve">but the </w:t>
      </w:r>
      <w:r w:rsidRPr="00423F76">
        <w:rPr>
          <w:rFonts w:ascii="Times New Roman" w:eastAsia="Times New Roman" w:hAnsi="Times New Roman" w:cs="Times New Roman"/>
          <w:b/>
          <w:color w:val="212121"/>
          <w:sz w:val="24"/>
          <w:szCs w:val="24"/>
        </w:rPr>
        <w:t>legislative purpose underlying the VCPA was, in large part, to expand the remedies afforded to consumers</w:t>
      </w:r>
      <w:r w:rsidRPr="00423F76">
        <w:rPr>
          <w:rFonts w:ascii="Times New Roman" w:eastAsia="Times New Roman" w:hAnsi="Times New Roman" w:cs="Times New Roman"/>
          <w:bCs/>
          <w:color w:val="212121"/>
          <w:sz w:val="24"/>
          <w:szCs w:val="24"/>
        </w:rPr>
        <w:t xml:space="preserve"> and to relax the restrictions </w:t>
      </w:r>
      <w:r w:rsidRPr="00423F76">
        <w:rPr>
          <w:rFonts w:ascii="Times New Roman" w:eastAsia="Times New Roman" w:hAnsi="Times New Roman" w:cs="Times New Roman"/>
          <w:b/>
          <w:color w:val="212121"/>
          <w:sz w:val="24"/>
          <w:szCs w:val="24"/>
        </w:rPr>
        <w:t>imposed upon them by the common law</w:t>
      </w:r>
      <w:r w:rsidRPr="00423F76">
        <w:rPr>
          <w:rFonts w:ascii="Times New Roman" w:eastAsia="Times New Roman" w:hAnsi="Times New Roman" w:cs="Times New Roman"/>
          <w:bCs/>
          <w:color w:val="212121"/>
          <w:sz w:val="24"/>
          <w:szCs w:val="24"/>
        </w:rPr>
        <w:t>. That remedial purpose would be nullified by an interpretation of the VCPA that construed it as merely declarative of the common law</w:t>
      </w:r>
      <w:r w:rsidRPr="00423F76">
        <w:rPr>
          <w:rFonts w:ascii="Times New Roman" w:eastAsia="Times New Roman" w:hAnsi="Times New Roman" w:cs="Times New Roman"/>
          <w:color w:val="212121"/>
          <w:sz w:val="24"/>
          <w:szCs w:val="24"/>
        </w:rPr>
        <w:t xml:space="preserve">…. Therefore, we agree with the plaintiffs' argument that the VCPA's proscription of conduct by suppliers in consumer transactions </w:t>
      </w:r>
      <w:r w:rsidRPr="00423F76">
        <w:rPr>
          <w:rFonts w:ascii="Times New Roman" w:eastAsia="Times New Roman" w:hAnsi="Times New Roman" w:cs="Times New Roman"/>
          <w:bCs/>
          <w:color w:val="212121"/>
          <w:sz w:val="24"/>
          <w:szCs w:val="24"/>
          <w:u w:val="single"/>
        </w:rPr>
        <w:t>extends considerably beyond fraud</w:t>
      </w:r>
      <w:r w:rsidRPr="00423F76">
        <w:rPr>
          <w:rFonts w:ascii="Times New Roman" w:eastAsia="Times New Roman" w:hAnsi="Times New Roman" w:cs="Times New Roman"/>
          <w:bCs/>
          <w:color w:val="212121"/>
          <w:sz w:val="24"/>
          <w:szCs w:val="24"/>
        </w:rPr>
        <w:t>.</w:t>
      </w:r>
    </w:p>
    <w:p w14:paraId="07D4BD69" w14:textId="77777777" w:rsidR="00232E41" w:rsidRPr="00423F76" w:rsidRDefault="00232E41" w:rsidP="00232E4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077315ED" w14:textId="5CE84A90" w:rsidR="00232E41" w:rsidRPr="001A14BC" w:rsidRDefault="00232E41" w:rsidP="001A14BC">
      <w:pPr>
        <w:pStyle w:val="Footer"/>
        <w:spacing w:line="480" w:lineRule="auto"/>
        <w:rPr>
          <w:rFonts w:ascii="Times New Roman" w:eastAsia="Times New Roman" w:hAnsi="Times New Roman" w:cs="Times New Roman"/>
          <w:sz w:val="24"/>
          <w:szCs w:val="24"/>
        </w:rPr>
      </w:pPr>
      <w:r w:rsidRPr="001A14BC">
        <w:rPr>
          <w:rFonts w:ascii="Times New Roman" w:hAnsi="Times New Roman" w:cs="Times New Roman"/>
          <w:i/>
          <w:sz w:val="24"/>
          <w:szCs w:val="24"/>
        </w:rPr>
        <w:t>Id</w:t>
      </w:r>
      <w:r w:rsidRPr="001A14BC">
        <w:rPr>
          <w:rFonts w:ascii="Times New Roman" w:hAnsi="Times New Roman" w:cs="Times New Roman"/>
          <w:sz w:val="24"/>
          <w:szCs w:val="24"/>
        </w:rPr>
        <w:t xml:space="preserve">. at 497 (emphasis added).   </w:t>
      </w:r>
      <w:r w:rsidR="009A5DBE" w:rsidRPr="001A14BC">
        <w:rPr>
          <w:rFonts w:ascii="Times New Roman" w:hAnsi="Times New Roman" w:cs="Times New Roman"/>
          <w:sz w:val="24"/>
          <w:szCs w:val="24"/>
        </w:rPr>
        <w:t>In addition, the</w:t>
      </w:r>
      <w:r w:rsidRPr="001A14BC">
        <w:rPr>
          <w:rFonts w:ascii="Times New Roman" w:hAnsi="Times New Roman" w:cs="Times New Roman"/>
          <w:sz w:val="24"/>
          <w:szCs w:val="24"/>
        </w:rPr>
        <w:t xml:space="preserve"> actionable misrepresentations under the VCPA need not be pleaded with the same degree of specificity as their common law fraud counterparts.  </w:t>
      </w:r>
      <w:r w:rsidRPr="001A14BC">
        <w:rPr>
          <w:rFonts w:ascii="Times New Roman" w:hAnsi="Times New Roman" w:cs="Times New Roman"/>
          <w:i/>
          <w:iCs/>
          <w:sz w:val="24"/>
          <w:szCs w:val="24"/>
        </w:rPr>
        <w:t xml:space="preserve">See, e.g., </w:t>
      </w:r>
      <w:hyperlink r:id="rId10" w:history="1">
        <w:r w:rsidRPr="001A14BC">
          <w:rPr>
            <w:rFonts w:ascii="Times New Roman" w:hAnsi="Times New Roman" w:cs="Times New Roman"/>
            <w:i/>
            <w:iCs/>
            <w:sz w:val="24"/>
            <w:szCs w:val="24"/>
          </w:rPr>
          <w:t>Patten v. Chrysler Corp.,</w:t>
        </w:r>
        <w:r w:rsidRPr="001A14BC">
          <w:rPr>
            <w:rFonts w:ascii="Times New Roman" w:eastAsia="Calibri" w:hAnsi="Times New Roman" w:cs="Times New Roman"/>
            <w:i/>
            <w:iCs/>
            <w:sz w:val="24"/>
            <w:szCs w:val="24"/>
          </w:rPr>
          <w:object w:dxaOrig="225" w:dyaOrig="225" w14:anchorId="3674C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11" o:title=""/>
            </v:shape>
            <w:control r:id="rId12" w:name="DefaultOcxName51" w:shapeid="_x0000_i1033"/>
          </w:object>
        </w:r>
        <w:r w:rsidRPr="001A14BC">
          <w:rPr>
            <w:rFonts w:ascii="Times New Roman" w:hAnsi="Times New Roman" w:cs="Times New Roman"/>
            <w:sz w:val="24"/>
            <w:szCs w:val="24"/>
          </w:rPr>
          <w:t xml:space="preserve"> 1997 WL 1070537, *2 (Va. Cir. Ct.1997)</w:t>
        </w:r>
      </w:hyperlink>
      <w:r w:rsidRPr="001A14BC">
        <w:rPr>
          <w:rFonts w:ascii="Times New Roman" w:hAnsi="Times New Roman" w:cs="Times New Roman"/>
          <w:sz w:val="24"/>
          <w:szCs w:val="24"/>
        </w:rPr>
        <w:t xml:space="preserve">; </w:t>
      </w:r>
      <w:r w:rsidRPr="001A14BC">
        <w:rPr>
          <w:rFonts w:ascii="Times New Roman" w:eastAsia="Calibri" w:hAnsi="Times New Roman" w:cs="Times New Roman"/>
          <w:sz w:val="24"/>
          <w:szCs w:val="24"/>
        </w:rPr>
        <w:object w:dxaOrig="225" w:dyaOrig="225" w14:anchorId="3A25AE53">
          <v:shape id="_x0000_i1036" type="#_x0000_t75" style="width:1in;height:18pt" o:ole="">
            <v:imagedata r:id="rId13" o:title=""/>
          </v:shape>
          <w:control r:id="rId14" w:name="DefaultOcxName112" w:shapeid="_x0000_i1036"/>
        </w:object>
      </w:r>
      <w:r w:rsidRPr="001A14BC">
        <w:rPr>
          <w:rFonts w:ascii="Times New Roman" w:hAnsi="Times New Roman" w:cs="Times New Roman"/>
          <w:sz w:val="24"/>
          <w:szCs w:val="24"/>
        </w:rPr>
        <w:t xml:space="preserve">*554 </w:t>
      </w:r>
      <w:hyperlink r:id="rId15" w:history="1">
        <w:proofErr w:type="spellStart"/>
        <w:r w:rsidRPr="001A14BC">
          <w:rPr>
            <w:rFonts w:ascii="Times New Roman" w:hAnsi="Times New Roman" w:cs="Times New Roman"/>
            <w:i/>
            <w:iCs/>
            <w:sz w:val="24"/>
            <w:szCs w:val="24"/>
          </w:rPr>
          <w:t>Debrew</w:t>
        </w:r>
        <w:proofErr w:type="spellEnd"/>
        <w:r w:rsidRPr="001A14BC">
          <w:rPr>
            <w:rFonts w:ascii="Times New Roman" w:hAnsi="Times New Roman" w:cs="Times New Roman"/>
            <w:i/>
            <w:iCs/>
            <w:sz w:val="24"/>
            <w:szCs w:val="24"/>
          </w:rPr>
          <w:t xml:space="preserve"> v. Lexus,</w:t>
        </w:r>
        <w:r w:rsidRPr="001A14BC">
          <w:rPr>
            <w:rFonts w:ascii="Times New Roman" w:hAnsi="Times New Roman" w:cs="Times New Roman"/>
            <w:sz w:val="24"/>
            <w:szCs w:val="24"/>
          </w:rPr>
          <w:t xml:space="preserve"> 1997 WL 1070613, *2 (Va. Cir. Ct.1997)</w:t>
        </w:r>
      </w:hyperlink>
      <w:r w:rsidRPr="001A14BC">
        <w:rPr>
          <w:rFonts w:ascii="Times New Roman" w:hAnsi="Times New Roman" w:cs="Times New Roman"/>
          <w:color w:val="212121"/>
          <w:sz w:val="24"/>
          <w:szCs w:val="24"/>
        </w:rPr>
        <w:t>.</w:t>
      </w:r>
      <w:r w:rsidRPr="001A14BC">
        <w:rPr>
          <w:rFonts w:ascii="Times New Roman" w:hAnsi="Times New Roman" w:cs="Times New Roman"/>
          <w:sz w:val="24"/>
          <w:szCs w:val="24"/>
          <w:vertAlign w:val="superscript"/>
        </w:rPr>
        <w:footnoteReference w:id="2"/>
      </w:r>
      <w:r w:rsidRPr="001A14BC">
        <w:rPr>
          <w:rFonts w:ascii="Times New Roman" w:hAnsi="Times New Roman" w:cs="Times New Roman"/>
          <w:color w:val="212121"/>
          <w:sz w:val="24"/>
          <w:szCs w:val="24"/>
          <w:vertAlign w:val="superscript"/>
        </w:rPr>
        <w:t xml:space="preserve"> </w:t>
      </w:r>
      <w:r w:rsidRPr="001A14BC">
        <w:rPr>
          <w:rFonts w:ascii="Times New Roman" w:hAnsi="Times New Roman" w:cs="Times New Roman"/>
          <w:color w:val="212121"/>
          <w:sz w:val="24"/>
          <w:szCs w:val="24"/>
        </w:rPr>
        <w:t xml:space="preserve"> Representations are also fraudulent when they </w:t>
      </w:r>
      <w:r w:rsidRPr="001A14BC">
        <w:rPr>
          <w:rFonts w:ascii="Times New Roman" w:hAnsi="Times New Roman" w:cs="Times New Roman"/>
          <w:color w:val="212121"/>
          <w:sz w:val="24"/>
          <w:szCs w:val="24"/>
        </w:rPr>
        <w:lastRenderedPageBreak/>
        <w:t xml:space="preserve">are made without a present intention to insure their truth. </w:t>
      </w:r>
      <w:r w:rsidRPr="001A14BC">
        <w:rPr>
          <w:rFonts w:ascii="Times New Roman" w:hAnsi="Times New Roman" w:cs="Times New Roman"/>
          <w:i/>
          <w:color w:val="212121"/>
          <w:sz w:val="24"/>
          <w:szCs w:val="24"/>
        </w:rPr>
        <w:t>Colonial Ford. V. Schneider</w:t>
      </w:r>
      <w:r w:rsidRPr="001A14BC">
        <w:rPr>
          <w:rFonts w:ascii="Times New Roman" w:hAnsi="Times New Roman" w:cs="Times New Roman"/>
          <w:color w:val="212121"/>
          <w:sz w:val="24"/>
          <w:szCs w:val="24"/>
        </w:rPr>
        <w:t xml:space="preserve">, 228 Va. 671, 677 (1985). </w:t>
      </w:r>
      <w:r w:rsidRPr="00423F76">
        <w:rPr>
          <w:rFonts w:eastAsia="Times New Roman"/>
        </w:rPr>
        <w:t xml:space="preserve"> </w:t>
      </w:r>
      <w:r w:rsidRPr="001A14BC">
        <w:rPr>
          <w:rFonts w:ascii="Times New Roman" w:eastAsia="Times New Roman" w:hAnsi="Times New Roman" w:cs="Times New Roman"/>
          <w:sz w:val="24"/>
          <w:szCs w:val="24"/>
        </w:rPr>
        <w:t xml:space="preserve">In addition, false statements about present quality or character, although expressed as opinion, are </w:t>
      </w:r>
      <w:r w:rsidR="00DC39FF" w:rsidRPr="001A14BC">
        <w:rPr>
          <w:rFonts w:ascii="Times New Roman" w:eastAsia="Times New Roman" w:hAnsi="Times New Roman" w:cs="Times New Roman"/>
          <w:sz w:val="24"/>
          <w:szCs w:val="24"/>
        </w:rPr>
        <w:t>actionable</w:t>
      </w:r>
      <w:r w:rsidRPr="001A14BC">
        <w:rPr>
          <w:rFonts w:ascii="Times New Roman" w:eastAsia="Times New Roman" w:hAnsi="Times New Roman" w:cs="Times New Roman"/>
          <w:sz w:val="24"/>
          <w:szCs w:val="24"/>
        </w:rPr>
        <w:t xml:space="preserve">. </w:t>
      </w:r>
      <w:r w:rsidRPr="001A14BC">
        <w:rPr>
          <w:rFonts w:ascii="Times New Roman" w:eastAsia="Times New Roman" w:hAnsi="Times New Roman" w:cs="Times New Roman"/>
          <w:i/>
          <w:sz w:val="24"/>
          <w:szCs w:val="24"/>
        </w:rPr>
        <w:t>Tate v.  House Builders, Inc</w:t>
      </w:r>
      <w:r w:rsidRPr="001A14BC">
        <w:rPr>
          <w:rFonts w:ascii="Times New Roman" w:eastAsia="Times New Roman" w:hAnsi="Times New Roman" w:cs="Times New Roman"/>
          <w:sz w:val="24"/>
          <w:szCs w:val="24"/>
        </w:rPr>
        <w:t>. 257 Va. 78, 83-84, 508 S.E.2d 597, 600 (</w:t>
      </w:r>
      <w:proofErr w:type="gramStart"/>
      <w:r w:rsidRPr="001A14BC">
        <w:rPr>
          <w:rFonts w:ascii="Times New Roman" w:eastAsia="Times New Roman" w:hAnsi="Times New Roman" w:cs="Times New Roman"/>
          <w:sz w:val="24"/>
          <w:szCs w:val="24"/>
        </w:rPr>
        <w:t>1999)(</w:t>
      </w:r>
      <w:proofErr w:type="gramEnd"/>
      <w:r w:rsidRPr="001A14BC">
        <w:rPr>
          <w:rFonts w:ascii="Times New Roman" w:eastAsia="Times New Roman" w:hAnsi="Times New Roman" w:cs="Times New Roman"/>
          <w:sz w:val="24"/>
          <w:szCs w:val="24"/>
        </w:rPr>
        <w:t xml:space="preserve">Statements that house was free from structural defects was </w:t>
      </w:r>
      <w:r w:rsidR="004F377D">
        <w:rPr>
          <w:rFonts w:ascii="Times New Roman" w:eastAsia="Times New Roman" w:hAnsi="Times New Roman" w:cs="Times New Roman"/>
          <w:sz w:val="24"/>
          <w:szCs w:val="24"/>
        </w:rPr>
        <w:t xml:space="preserve">a </w:t>
      </w:r>
      <w:r w:rsidRPr="001A14BC">
        <w:rPr>
          <w:rFonts w:ascii="Times New Roman" w:eastAsia="Times New Roman" w:hAnsi="Times New Roman" w:cs="Times New Roman"/>
          <w:sz w:val="24"/>
          <w:szCs w:val="24"/>
        </w:rPr>
        <w:t xml:space="preserve">representation about the present quality or character of the property). </w:t>
      </w:r>
    </w:p>
    <w:p w14:paraId="742B51D4" w14:textId="32BD9954" w:rsidR="00AE0385" w:rsidRPr="00B14451" w:rsidRDefault="00AE0385" w:rsidP="00AE0385">
      <w:pPr>
        <w:pStyle w:val="ListParagraph"/>
        <w:numPr>
          <w:ilvl w:val="0"/>
          <w:numId w:val="22"/>
        </w:numPr>
        <w:suppressAutoHyphens/>
        <w:spacing w:after="0" w:line="480" w:lineRule="auto"/>
        <w:rPr>
          <w:rFonts w:ascii="Times New Roman" w:eastAsia="Times New Roman" w:hAnsi="Times New Roman" w:cs="Times New Roman"/>
          <w:b/>
          <w:bCs/>
          <w:sz w:val="24"/>
          <w:szCs w:val="20"/>
          <w:u w:val="single"/>
        </w:rPr>
      </w:pPr>
      <w:r w:rsidRPr="00B14451">
        <w:rPr>
          <w:rFonts w:ascii="Times New Roman" w:eastAsia="Times New Roman" w:hAnsi="Times New Roman" w:cs="Times New Roman"/>
          <w:b/>
          <w:bCs/>
          <w:sz w:val="24"/>
          <w:szCs w:val="20"/>
          <w:u w:val="single"/>
        </w:rPr>
        <w:t>Plaintiff Has Alleged Sufficient Facts to Support a VCPA Claim</w:t>
      </w:r>
    </w:p>
    <w:bookmarkEnd w:id="0"/>
    <w:p w14:paraId="4295B4A1" w14:textId="518C8C8A" w:rsidR="00423F76" w:rsidRDefault="00423F76" w:rsidP="00423F76">
      <w:pPr>
        <w:spacing w:after="0" w:line="480" w:lineRule="auto"/>
        <w:ind w:firstLine="720"/>
        <w:rPr>
          <w:rFonts w:ascii="Times New Roman" w:eastAsia="Times New Roman" w:hAnsi="Times New Roman" w:cs="Times New Roman"/>
          <w:sz w:val="24"/>
          <w:szCs w:val="24"/>
        </w:rPr>
      </w:pPr>
      <w:r w:rsidRPr="00423F76">
        <w:rPr>
          <w:rFonts w:ascii="Times New Roman" w:eastAsia="Times New Roman" w:hAnsi="Times New Roman" w:cs="Times New Roman"/>
          <w:sz w:val="24"/>
          <w:szCs w:val="24"/>
        </w:rPr>
        <w:t>Virginia is a notice pleading state.  “Even a flawed complaint will survive demurrer if it is drafted so that the defendant is on notice of the nature and character of the claim.</w:t>
      </w:r>
      <w:bookmarkStart w:id="1" w:name="_Hlk16079336"/>
      <w:r w:rsidR="00E02088">
        <w:rPr>
          <w:rFonts w:ascii="Times New Roman" w:eastAsia="Times New Roman" w:hAnsi="Times New Roman" w:cs="Times New Roman"/>
          <w:sz w:val="24"/>
          <w:szCs w:val="24"/>
        </w:rPr>
        <w:t>”</w:t>
      </w:r>
      <w:r w:rsidRPr="00423F76">
        <w:rPr>
          <w:rFonts w:ascii="Times New Roman" w:eastAsia="Times New Roman" w:hAnsi="Times New Roman" w:cs="Times New Roman"/>
          <w:sz w:val="24"/>
          <w:szCs w:val="24"/>
          <w:vertAlign w:val="superscript"/>
        </w:rPr>
        <w:footnoteReference w:id="3"/>
      </w:r>
      <w:r w:rsidRPr="00423F76">
        <w:rPr>
          <w:rFonts w:ascii="Times New Roman" w:eastAsia="Times New Roman" w:hAnsi="Times New Roman" w:cs="Times New Roman"/>
          <w:sz w:val="24"/>
          <w:szCs w:val="24"/>
        </w:rPr>
        <w:t xml:space="preserve"> </w:t>
      </w:r>
      <w:bookmarkEnd w:id="1"/>
      <w:r w:rsidRPr="00423F76">
        <w:rPr>
          <w:rFonts w:ascii="Times New Roman" w:eastAsia="Times New Roman" w:hAnsi="Times New Roman" w:cs="Times New Roman"/>
          <w:sz w:val="24"/>
          <w:szCs w:val="24"/>
        </w:rPr>
        <w:t xml:space="preserve"> The Supreme Court has upheld a pleading to be sufficient where it alleged that the defendant’s actions “proximately caused injury to the plaintiff, both mental and physical.”  </w:t>
      </w:r>
      <w:r w:rsidRPr="00423F76">
        <w:rPr>
          <w:rFonts w:ascii="Times New Roman" w:eastAsia="Times New Roman" w:hAnsi="Times New Roman" w:cs="Times New Roman"/>
          <w:i/>
          <w:sz w:val="24"/>
          <w:szCs w:val="24"/>
        </w:rPr>
        <w:t xml:space="preserve">Moore v. Jefferson Hospital Inc. </w:t>
      </w:r>
      <w:r w:rsidRPr="00423F76">
        <w:rPr>
          <w:rFonts w:ascii="Times New Roman" w:eastAsia="Times New Roman" w:hAnsi="Times New Roman" w:cs="Times New Roman"/>
          <w:sz w:val="24"/>
          <w:szCs w:val="24"/>
        </w:rPr>
        <w:t>208 Va. 438, 439, 158 S.E.2d 124, 126-27 (</w:t>
      </w:r>
      <w:proofErr w:type="gramStart"/>
      <w:r w:rsidRPr="00423F76">
        <w:rPr>
          <w:rFonts w:ascii="Times New Roman" w:eastAsia="Times New Roman" w:hAnsi="Times New Roman" w:cs="Times New Roman"/>
          <w:sz w:val="24"/>
          <w:szCs w:val="24"/>
        </w:rPr>
        <w:t>1967)(</w:t>
      </w:r>
      <w:proofErr w:type="gramEnd"/>
      <w:r w:rsidRPr="00423F76">
        <w:rPr>
          <w:rFonts w:ascii="Times New Roman" w:eastAsia="Times New Roman" w:hAnsi="Times New Roman" w:cs="Times New Roman"/>
          <w:sz w:val="24"/>
          <w:szCs w:val="24"/>
        </w:rPr>
        <w:t>Reversing the ruling of trial court, which found that plaintiff had not stated a cause of action for a tort alleging intentional infliction of emotional distress).</w:t>
      </w:r>
    </w:p>
    <w:p w14:paraId="0FD50DFA" w14:textId="69BE6B3E" w:rsidR="0078711D" w:rsidRDefault="008C120A" w:rsidP="004162AC">
      <w:pPr>
        <w:pStyle w:val="FootnoteTextMore"/>
      </w:pPr>
      <w:r w:rsidRPr="001A14BC">
        <w:t>Defendants</w:t>
      </w:r>
      <w:r w:rsidR="00E02088" w:rsidRPr="001A14BC">
        <w:t>’</w:t>
      </w:r>
      <w:r w:rsidRPr="001A14BC">
        <w:t xml:space="preserve"> argument that Plaintiff failed to disclose the source </w:t>
      </w:r>
      <w:r w:rsidR="00935EED" w:rsidRPr="001A14BC">
        <w:t xml:space="preserve">or </w:t>
      </w:r>
      <w:proofErr w:type="gramStart"/>
      <w:r w:rsidR="00802EB5" w:rsidRPr="001A14BC">
        <w:t>time</w:t>
      </w:r>
      <w:r w:rsidR="00935EED" w:rsidRPr="001A14BC">
        <w:t xml:space="preserve"> </w:t>
      </w:r>
      <w:r w:rsidR="00802EB5" w:rsidRPr="001A14BC">
        <w:t>period</w:t>
      </w:r>
      <w:proofErr w:type="gramEnd"/>
      <w:r w:rsidR="00802EB5" w:rsidRPr="001A14BC">
        <w:t xml:space="preserve"> </w:t>
      </w:r>
      <w:r w:rsidRPr="001A14BC">
        <w:t xml:space="preserve">of the misrepresentations is simply inaccurate.  First, Plaintiff has </w:t>
      </w:r>
      <w:r w:rsidR="00521EC5" w:rsidRPr="001A14BC">
        <w:t xml:space="preserve">partially </w:t>
      </w:r>
      <w:r w:rsidRPr="001A14BC">
        <w:t xml:space="preserve">relied upon the assisted living disclosure agreement as supporting factual misrepresentation regarding, </w:t>
      </w:r>
      <w:r w:rsidRPr="001A14BC">
        <w:rPr>
          <w:i/>
          <w:iCs/>
        </w:rPr>
        <w:t>inter alia</w:t>
      </w:r>
      <w:r w:rsidRPr="001A14BC">
        <w:t>, management of chronic conditions on a regular basis, staff assistance for activities of daily living</w:t>
      </w:r>
      <w:r w:rsidR="00870097" w:rsidRPr="001A14BC">
        <w:t xml:space="preserve"> and </w:t>
      </w:r>
      <w:r w:rsidRPr="001A14BC">
        <w:t>incontinence care</w:t>
      </w:r>
      <w:r w:rsidR="00870097" w:rsidRPr="001A14BC">
        <w:t xml:space="preserve">.  (Complaint, § 40). </w:t>
      </w:r>
      <w:r w:rsidR="001A14BC">
        <w:t xml:space="preserve"> </w:t>
      </w:r>
      <w:r w:rsidR="0078711D">
        <w:t xml:space="preserve">Plaintiff further explains that the “manager of Garden Ridge misrepresented to the McCorkle family that Sara’s daily care needs (including toileting and </w:t>
      </w:r>
      <w:r w:rsidR="0078711D">
        <w:lastRenderedPageBreak/>
        <w:t xml:space="preserve">bathing) would be met by the direct care staff.” </w:t>
      </w:r>
      <w:r w:rsidR="0078711D" w:rsidRPr="00870097">
        <w:rPr>
          <w:i/>
          <w:iCs/>
        </w:rPr>
        <w:t>Id</w:t>
      </w:r>
      <w:r w:rsidR="0078711D">
        <w:t xml:space="preserve">., ¶41.  </w:t>
      </w:r>
    </w:p>
    <w:p w14:paraId="7B85DE0C" w14:textId="2A0156F6" w:rsidR="0078711D" w:rsidRDefault="000C3C38" w:rsidP="00DC39F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711D">
        <w:rPr>
          <w:rFonts w:ascii="Times New Roman" w:eastAsia="Times New Roman" w:hAnsi="Times New Roman" w:cs="Times New Roman"/>
          <w:sz w:val="24"/>
          <w:szCs w:val="24"/>
        </w:rPr>
        <w:t xml:space="preserve">Second, Plaintiff alleges that on November 25, 2020, “Plaintiff’s daughter met with Don Wright, Manager, who stated the family would not need private duty nurses as the staff would be able to provide </w:t>
      </w:r>
      <w:proofErr w:type="gramStart"/>
      <w:r w:rsidR="0078711D">
        <w:rPr>
          <w:rFonts w:ascii="Times New Roman" w:eastAsia="Times New Roman" w:hAnsi="Times New Roman" w:cs="Times New Roman"/>
          <w:sz w:val="24"/>
          <w:szCs w:val="24"/>
        </w:rPr>
        <w:t>all of</w:t>
      </w:r>
      <w:proofErr w:type="gramEnd"/>
      <w:r w:rsidR="0078711D">
        <w:rPr>
          <w:rFonts w:ascii="Times New Roman" w:eastAsia="Times New Roman" w:hAnsi="Times New Roman" w:cs="Times New Roman"/>
          <w:sz w:val="24"/>
          <w:szCs w:val="24"/>
        </w:rPr>
        <w:t xml:space="preserve"> her ADL and related care.  This misrepresentation was consistent with what the family was told when they were evaluating the transition from independent to assisted living, namely that the assisted living staff would provide for her daily care needs, including the need for supervision, fall prevention, </w:t>
      </w:r>
      <w:proofErr w:type="gramStart"/>
      <w:r w:rsidR="0078711D">
        <w:rPr>
          <w:rFonts w:ascii="Times New Roman" w:eastAsia="Times New Roman" w:hAnsi="Times New Roman" w:cs="Times New Roman"/>
          <w:sz w:val="24"/>
          <w:szCs w:val="24"/>
        </w:rPr>
        <w:t>bathing</w:t>
      </w:r>
      <w:proofErr w:type="gramEnd"/>
      <w:r w:rsidR="0078711D">
        <w:rPr>
          <w:rFonts w:ascii="Times New Roman" w:eastAsia="Times New Roman" w:hAnsi="Times New Roman" w:cs="Times New Roman"/>
          <w:sz w:val="24"/>
          <w:szCs w:val="24"/>
        </w:rPr>
        <w:t xml:space="preserve"> and toileting.” </w:t>
      </w:r>
      <w:r w:rsidR="0078711D" w:rsidRPr="00ED4EF1">
        <w:rPr>
          <w:rFonts w:ascii="Times New Roman" w:eastAsia="Times New Roman" w:hAnsi="Times New Roman" w:cs="Times New Roman"/>
          <w:i/>
          <w:iCs/>
          <w:sz w:val="24"/>
          <w:szCs w:val="24"/>
        </w:rPr>
        <w:t>Id.</w:t>
      </w:r>
      <w:r w:rsidR="0078711D">
        <w:rPr>
          <w:rFonts w:ascii="Times New Roman" w:eastAsia="Times New Roman" w:hAnsi="Times New Roman" w:cs="Times New Roman"/>
          <w:sz w:val="24"/>
          <w:szCs w:val="24"/>
        </w:rPr>
        <w:t xml:space="preserve">, ¶ 14.  </w:t>
      </w:r>
    </w:p>
    <w:p w14:paraId="7E3A41A1" w14:textId="3E1F2663" w:rsidR="003D314C" w:rsidRDefault="0078711D" w:rsidP="0078711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allegations clearly identify the persons making the alleged misrepresentations’ along with the relevant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Even if Defendants’ staff members had not been identified, Defendants’ assisted living disclosures </w:t>
      </w:r>
      <w:r w:rsidR="00471BC8">
        <w:rPr>
          <w:rFonts w:ascii="Times New Roman" w:eastAsia="Times New Roman" w:hAnsi="Times New Roman" w:cs="Times New Roman"/>
          <w:sz w:val="24"/>
          <w:szCs w:val="24"/>
        </w:rPr>
        <w:t xml:space="preserve">alone </w:t>
      </w:r>
      <w:r w:rsidR="004F377D">
        <w:rPr>
          <w:rFonts w:ascii="Times New Roman" w:eastAsia="Times New Roman" w:hAnsi="Times New Roman" w:cs="Times New Roman"/>
          <w:sz w:val="24"/>
          <w:szCs w:val="24"/>
        </w:rPr>
        <w:t xml:space="preserve">would </w:t>
      </w:r>
      <w:r w:rsidR="00471BC8">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sufficient to support at VCPA claim.</w:t>
      </w:r>
      <w:r w:rsidR="003D314C">
        <w:rPr>
          <w:rFonts w:ascii="Times New Roman" w:eastAsia="Times New Roman" w:hAnsi="Times New Roman" w:cs="Times New Roman"/>
          <w:sz w:val="24"/>
          <w:szCs w:val="24"/>
        </w:rPr>
        <w:t xml:space="preserve">  See,</w:t>
      </w:r>
    </w:p>
    <w:p w14:paraId="1BF4CABB" w14:textId="26033048" w:rsidR="003D314C" w:rsidRDefault="003D314C" w:rsidP="003D314C">
      <w:pPr>
        <w:widowControl w:val="0"/>
        <w:autoSpaceDE w:val="0"/>
        <w:autoSpaceDN w:val="0"/>
        <w:adjustRightInd w:val="0"/>
        <w:spacing w:after="0" w:line="480" w:lineRule="auto"/>
        <w:jc w:val="both"/>
        <w:rPr>
          <w:rFonts w:ascii="Times New Roman" w:eastAsia="Times New Roman" w:hAnsi="Times New Roman" w:cs="Times New Roman"/>
          <w:color w:val="212121"/>
          <w:sz w:val="24"/>
          <w:szCs w:val="24"/>
        </w:rPr>
      </w:pPr>
      <w:r w:rsidRPr="00831C58">
        <w:rPr>
          <w:rFonts w:ascii="Times New Roman" w:eastAsia="Times New Roman" w:hAnsi="Times New Roman" w:cs="Times New Roman"/>
          <w:i/>
          <w:iCs/>
          <w:color w:val="212121"/>
          <w:sz w:val="24"/>
          <w:szCs w:val="24"/>
        </w:rPr>
        <w:t>Abi-</w:t>
      </w:r>
      <w:proofErr w:type="spellStart"/>
      <w:r w:rsidRPr="00831C58">
        <w:rPr>
          <w:rFonts w:ascii="Times New Roman" w:eastAsia="Times New Roman" w:hAnsi="Times New Roman" w:cs="Times New Roman"/>
          <w:i/>
          <w:iCs/>
          <w:color w:val="212121"/>
          <w:sz w:val="24"/>
          <w:szCs w:val="24"/>
        </w:rPr>
        <w:t>Najm</w:t>
      </w:r>
      <w:proofErr w:type="spellEnd"/>
      <w:r w:rsidRPr="00831C58">
        <w:rPr>
          <w:rFonts w:ascii="Times New Roman" w:eastAsia="Times New Roman" w:hAnsi="Times New Roman" w:cs="Times New Roman"/>
          <w:i/>
          <w:iCs/>
          <w:color w:val="212121"/>
          <w:sz w:val="24"/>
          <w:szCs w:val="24"/>
        </w:rPr>
        <w:t xml:space="preserve"> v. Concord Condo. LLC</w:t>
      </w:r>
      <w:r w:rsidRPr="00A852F3">
        <w:rPr>
          <w:rFonts w:ascii="Times New Roman" w:eastAsia="Times New Roman" w:hAnsi="Times New Roman" w:cs="Times New Roman"/>
          <w:color w:val="212121"/>
          <w:sz w:val="24"/>
          <w:szCs w:val="24"/>
        </w:rPr>
        <w:t>, 280 Va. 350, 699 S.E.2d 483 (2010)</w:t>
      </w:r>
      <w:r>
        <w:rPr>
          <w:rFonts w:ascii="Times New Roman" w:eastAsia="Times New Roman" w:hAnsi="Times New Roman" w:cs="Times New Roman"/>
          <w:color w:val="212121"/>
          <w:sz w:val="24"/>
          <w:szCs w:val="24"/>
        </w:rPr>
        <w:t xml:space="preserve">, where Plaintiff </w:t>
      </w:r>
      <w:r w:rsidR="00831C58">
        <w:rPr>
          <w:rFonts w:ascii="Times New Roman" w:eastAsia="Times New Roman" w:hAnsi="Times New Roman" w:cs="Times New Roman"/>
          <w:color w:val="212121"/>
          <w:sz w:val="24"/>
          <w:szCs w:val="24"/>
        </w:rPr>
        <w:t>pursued a VCPA claim based on a</w:t>
      </w:r>
      <w:r>
        <w:rPr>
          <w:rFonts w:ascii="Times New Roman" w:eastAsia="Times New Roman" w:hAnsi="Times New Roman" w:cs="Times New Roman"/>
          <w:color w:val="212121"/>
          <w:sz w:val="24"/>
          <w:szCs w:val="24"/>
        </w:rPr>
        <w:t xml:space="preserve"> purchase agreement </w:t>
      </w:r>
      <w:r w:rsidR="00831C58">
        <w:rPr>
          <w:rFonts w:ascii="Times New Roman" w:eastAsia="Times New Roman" w:hAnsi="Times New Roman" w:cs="Times New Roman"/>
          <w:color w:val="212121"/>
          <w:sz w:val="24"/>
          <w:szCs w:val="24"/>
        </w:rPr>
        <w:t xml:space="preserve">which </w:t>
      </w:r>
      <w:r>
        <w:rPr>
          <w:rFonts w:ascii="Times New Roman" w:eastAsia="Times New Roman" w:hAnsi="Times New Roman" w:cs="Times New Roman"/>
          <w:color w:val="212121"/>
          <w:sz w:val="24"/>
          <w:szCs w:val="24"/>
        </w:rPr>
        <w:t>stated</w:t>
      </w:r>
      <w:r w:rsidR="00831C58">
        <w:rPr>
          <w:rFonts w:ascii="Times New Roman" w:eastAsia="Times New Roman" w:hAnsi="Times New Roman" w:cs="Times New Roman"/>
          <w:color w:val="212121"/>
          <w:sz w:val="24"/>
          <w:szCs w:val="24"/>
        </w:rPr>
        <w:t xml:space="preserve"> that </w:t>
      </w:r>
      <w:r>
        <w:rPr>
          <w:rFonts w:ascii="Times New Roman" w:eastAsia="Times New Roman" w:hAnsi="Times New Roman" w:cs="Times New Roman"/>
          <w:color w:val="212121"/>
          <w:sz w:val="24"/>
          <w:szCs w:val="24"/>
        </w:rPr>
        <w:t xml:space="preserve">Oak </w:t>
      </w:r>
      <w:r w:rsidR="00DC39FF">
        <w:rPr>
          <w:rFonts w:ascii="Times New Roman" w:eastAsia="Times New Roman" w:hAnsi="Times New Roman" w:cs="Times New Roman"/>
          <w:color w:val="212121"/>
          <w:sz w:val="24"/>
          <w:szCs w:val="24"/>
        </w:rPr>
        <w:t>h</w:t>
      </w:r>
      <w:r>
        <w:rPr>
          <w:rFonts w:ascii="Times New Roman" w:eastAsia="Times New Roman" w:hAnsi="Times New Roman" w:cs="Times New Roman"/>
          <w:color w:val="212121"/>
          <w:sz w:val="24"/>
          <w:szCs w:val="24"/>
        </w:rPr>
        <w:t>ardwood would be used</w:t>
      </w:r>
      <w:r w:rsidR="00831C58">
        <w:rPr>
          <w:rFonts w:ascii="Times New Roman" w:eastAsia="Times New Roman" w:hAnsi="Times New Roman" w:cs="Times New Roman"/>
          <w:color w:val="212121"/>
          <w:sz w:val="24"/>
          <w:szCs w:val="24"/>
        </w:rPr>
        <w:t xml:space="preserve"> for flooring, </w:t>
      </w:r>
      <w:r>
        <w:rPr>
          <w:rFonts w:ascii="Times New Roman" w:eastAsia="Times New Roman" w:hAnsi="Times New Roman" w:cs="Times New Roman"/>
          <w:color w:val="212121"/>
          <w:sz w:val="24"/>
          <w:szCs w:val="24"/>
        </w:rPr>
        <w:t xml:space="preserve">but Defendants </w:t>
      </w:r>
      <w:r w:rsidR="00831C58">
        <w:rPr>
          <w:rFonts w:ascii="Times New Roman" w:eastAsia="Times New Roman" w:hAnsi="Times New Roman" w:cs="Times New Roman"/>
          <w:color w:val="212121"/>
          <w:sz w:val="24"/>
          <w:szCs w:val="24"/>
        </w:rPr>
        <w:t xml:space="preserve">later substituted </w:t>
      </w:r>
      <w:r>
        <w:rPr>
          <w:rFonts w:ascii="Times New Roman" w:eastAsia="Times New Roman" w:hAnsi="Times New Roman" w:cs="Times New Roman"/>
          <w:color w:val="212121"/>
          <w:sz w:val="24"/>
          <w:szCs w:val="24"/>
        </w:rPr>
        <w:t>prefabricated hardwood.</w:t>
      </w:r>
      <w:r w:rsidR="00831C58" w:rsidRPr="000011AA">
        <w:rPr>
          <w:rStyle w:val="FootnoteReference"/>
          <w:rFonts w:eastAsia="Times New Roman" w:cs="Times New Roman"/>
          <w:color w:val="212121"/>
          <w:sz w:val="24"/>
          <w:szCs w:val="24"/>
          <w:vertAlign w:val="superscript"/>
        </w:rPr>
        <w:footnoteReference w:id="4"/>
      </w:r>
      <w:r w:rsidRPr="000011AA">
        <w:rPr>
          <w:rFonts w:ascii="Times New Roman" w:eastAsia="Times New Roman" w:hAnsi="Times New Roman" w:cs="Times New Roman"/>
          <w:color w:val="212121"/>
          <w:sz w:val="24"/>
          <w:szCs w:val="24"/>
          <w:vertAlign w:val="superscript"/>
        </w:rPr>
        <w:t xml:space="preserve"> </w:t>
      </w:r>
      <w:r>
        <w:rPr>
          <w:rFonts w:ascii="Times New Roman" w:eastAsia="Times New Roman" w:hAnsi="Times New Roman" w:cs="Times New Roman"/>
          <w:color w:val="212121"/>
          <w:sz w:val="24"/>
          <w:szCs w:val="24"/>
        </w:rPr>
        <w:t xml:space="preserve">  </w:t>
      </w:r>
    </w:p>
    <w:p w14:paraId="15362B34" w14:textId="003E15F4" w:rsidR="001A14BC" w:rsidRDefault="0078711D" w:rsidP="0078711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Defendants also argue that the complaint fails to allege that the misrepresentations were made to Plaintiff.  This is also factually inaccurate, as Plaintiff clearly states that Defendants “</w:t>
      </w:r>
      <w:r w:rsidRPr="00935EED">
        <w:rPr>
          <w:rFonts w:ascii="Times New Roman" w:eastAsia="Times New Roman" w:hAnsi="Times New Roman" w:cs="Times New Roman"/>
          <w:b/>
          <w:bCs/>
          <w:sz w:val="24"/>
          <w:szCs w:val="24"/>
        </w:rPr>
        <w:t>intentionally misrepresented various facts to Plaintiff and her family</w:t>
      </w:r>
      <w:r>
        <w:rPr>
          <w:rFonts w:ascii="Times New Roman" w:eastAsia="Times New Roman" w:hAnsi="Times New Roman" w:cs="Times New Roman"/>
          <w:sz w:val="24"/>
          <w:szCs w:val="24"/>
        </w:rPr>
        <w:t xml:space="preserve"> in an effort to induce them into transferring to the assisted living section and remaining within Erickson’s community.” </w:t>
      </w:r>
      <w:r w:rsidR="003171A7">
        <w:rPr>
          <w:rFonts w:ascii="Times New Roman" w:eastAsia="Times New Roman" w:hAnsi="Times New Roman" w:cs="Times New Roman"/>
          <w:sz w:val="24"/>
          <w:szCs w:val="24"/>
        </w:rPr>
        <w:t>Complaint, ¶ 37</w:t>
      </w:r>
      <w:r>
        <w:rPr>
          <w:rFonts w:ascii="Times New Roman" w:eastAsia="Times New Roman" w:hAnsi="Times New Roman" w:cs="Times New Roman"/>
          <w:sz w:val="24"/>
          <w:szCs w:val="24"/>
        </w:rPr>
        <w:t xml:space="preserve">(emphasis added).  While some of those misrepresentations were made to family members, Plaintiff, who suffered from dementia, explains that she was acting through her lawful agents, including her son Allen, who was acting as her POA since July of 2011. </w:t>
      </w:r>
      <w:r w:rsidRPr="00DC39FF">
        <w:rPr>
          <w:rFonts w:ascii="Times New Roman" w:eastAsia="Times New Roman" w:hAnsi="Times New Roman" w:cs="Times New Roman"/>
          <w:i/>
          <w:iCs/>
          <w:sz w:val="24"/>
          <w:szCs w:val="24"/>
        </w:rPr>
        <w:t xml:space="preserve">Id. </w:t>
      </w:r>
      <w:r>
        <w:rPr>
          <w:rFonts w:ascii="Times New Roman" w:eastAsia="Times New Roman" w:hAnsi="Times New Roman" w:cs="Times New Roman"/>
          <w:sz w:val="24"/>
          <w:szCs w:val="24"/>
        </w:rPr>
        <w:t>¶¶ 5 &amp; 35.</w:t>
      </w:r>
      <w:r w:rsidRPr="00250000">
        <w:rPr>
          <w:rStyle w:val="FootnoteReference"/>
          <w:rFonts w:eastAsia="Times New Roman" w:cs="Times New Roman"/>
          <w:sz w:val="24"/>
          <w:szCs w:val="24"/>
          <w:vertAlign w:val="superscript"/>
        </w:rPr>
        <w:footnoteReference w:id="5"/>
      </w:r>
      <w:r w:rsidRPr="0025000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p>
    <w:p w14:paraId="06540726" w14:textId="77777777" w:rsidR="001A14BC" w:rsidRDefault="001A14BC" w:rsidP="001A14BC">
      <w:pPr>
        <w:pStyle w:val="ListParagraph"/>
        <w:spacing w:after="0" w:line="240" w:lineRule="auto"/>
        <w:ind w:left="1080"/>
        <w:rPr>
          <w:rFonts w:ascii="Times New Roman" w:eastAsia="Times New Roman" w:hAnsi="Times New Roman" w:cs="Times New Roman"/>
          <w:b/>
          <w:bCs/>
          <w:sz w:val="24"/>
          <w:szCs w:val="24"/>
          <w:u w:val="single"/>
        </w:rPr>
      </w:pPr>
    </w:p>
    <w:p w14:paraId="6961504C" w14:textId="5077285B" w:rsidR="000C3C38" w:rsidRPr="00B14451" w:rsidRDefault="000C3C38" w:rsidP="000C3C38">
      <w:pPr>
        <w:pStyle w:val="ListParagraph"/>
        <w:numPr>
          <w:ilvl w:val="0"/>
          <w:numId w:val="22"/>
        </w:numPr>
        <w:spacing w:after="0" w:line="240" w:lineRule="auto"/>
        <w:rPr>
          <w:rFonts w:ascii="Times New Roman" w:eastAsia="Times New Roman" w:hAnsi="Times New Roman" w:cs="Times New Roman"/>
          <w:b/>
          <w:bCs/>
          <w:sz w:val="24"/>
          <w:szCs w:val="24"/>
          <w:u w:val="single"/>
        </w:rPr>
      </w:pPr>
      <w:r w:rsidRPr="00B14451">
        <w:rPr>
          <w:rFonts w:ascii="Times New Roman" w:eastAsia="Times New Roman" w:hAnsi="Times New Roman" w:cs="Times New Roman"/>
          <w:b/>
          <w:bCs/>
          <w:sz w:val="24"/>
          <w:szCs w:val="24"/>
          <w:u w:val="single"/>
        </w:rPr>
        <w:t>Plaintiff’s Alleged Misrepresentations Involve Existing Facts that</w:t>
      </w:r>
    </w:p>
    <w:p w14:paraId="165D2832" w14:textId="7D764E4D" w:rsidR="000C3C38" w:rsidRPr="00B14451" w:rsidRDefault="000C3C38" w:rsidP="000C3C38">
      <w:pPr>
        <w:pStyle w:val="ListParagraph"/>
        <w:spacing w:after="0" w:line="240" w:lineRule="auto"/>
        <w:ind w:left="1080"/>
        <w:rPr>
          <w:rFonts w:ascii="Times New Roman" w:eastAsia="Times New Roman" w:hAnsi="Times New Roman" w:cs="Times New Roman"/>
          <w:b/>
          <w:bCs/>
          <w:sz w:val="24"/>
          <w:szCs w:val="24"/>
          <w:u w:val="single"/>
        </w:rPr>
      </w:pPr>
      <w:r w:rsidRPr="00B14451">
        <w:rPr>
          <w:rFonts w:ascii="Times New Roman" w:eastAsia="Times New Roman" w:hAnsi="Times New Roman" w:cs="Times New Roman"/>
          <w:b/>
          <w:bCs/>
          <w:sz w:val="24"/>
          <w:szCs w:val="24"/>
          <w:u w:val="single"/>
        </w:rPr>
        <w:t>Are Actionable Under the VCPA</w:t>
      </w:r>
    </w:p>
    <w:p w14:paraId="25E0E28F" w14:textId="76F432FB" w:rsidR="000C3C38" w:rsidRDefault="000C3C38" w:rsidP="000C3C38">
      <w:pPr>
        <w:spacing w:after="0" w:line="240" w:lineRule="auto"/>
        <w:rPr>
          <w:rFonts w:ascii="Times New Roman" w:eastAsia="Times New Roman" w:hAnsi="Times New Roman" w:cs="Times New Roman"/>
          <w:sz w:val="24"/>
          <w:szCs w:val="24"/>
        </w:rPr>
      </w:pPr>
    </w:p>
    <w:p w14:paraId="10C5B156" w14:textId="773731F8" w:rsidR="00C719F0" w:rsidRDefault="000C3C38" w:rsidP="000C3C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Defendant’s reliance on </w:t>
      </w:r>
      <w:r w:rsidRPr="0057086F">
        <w:rPr>
          <w:rFonts w:ascii="Times New Roman" w:eastAsia="Times New Roman" w:hAnsi="Times New Roman" w:cs="Times New Roman"/>
          <w:i/>
          <w:iCs/>
          <w:sz w:val="24"/>
          <w:szCs w:val="24"/>
        </w:rPr>
        <w:t>Lambert v. Downtown Garage</w:t>
      </w:r>
      <w:r>
        <w:rPr>
          <w:rFonts w:ascii="Times New Roman" w:eastAsia="Times New Roman" w:hAnsi="Times New Roman" w:cs="Times New Roman"/>
          <w:sz w:val="24"/>
          <w:szCs w:val="24"/>
        </w:rPr>
        <w:t xml:space="preserve">, 262 Va. 707, 553 S.E.2d 714 (2001) is misplaced.  In </w:t>
      </w:r>
      <w:r w:rsidRPr="00B1385F">
        <w:rPr>
          <w:rFonts w:ascii="Times New Roman" w:eastAsia="Times New Roman" w:hAnsi="Times New Roman" w:cs="Times New Roman"/>
          <w:i/>
          <w:iCs/>
          <w:sz w:val="24"/>
          <w:szCs w:val="24"/>
        </w:rPr>
        <w:t>Lambert</w:t>
      </w:r>
      <w:r>
        <w:rPr>
          <w:rFonts w:ascii="Times New Roman" w:eastAsia="Times New Roman" w:hAnsi="Times New Roman" w:cs="Times New Roman"/>
          <w:sz w:val="24"/>
          <w:szCs w:val="24"/>
        </w:rPr>
        <w:t xml:space="preserve"> the Court simply held that Defendant’s representation that the vehicle was in “excellent condition” was an opinion akin to puffery.  In dicta, the Court did use the term “existing fact,” which has been clarified </w:t>
      </w:r>
      <w:r w:rsidR="003D314C">
        <w:rPr>
          <w:rFonts w:ascii="Times New Roman" w:eastAsia="Times New Roman" w:hAnsi="Times New Roman" w:cs="Times New Roman"/>
          <w:sz w:val="24"/>
          <w:szCs w:val="24"/>
        </w:rPr>
        <w:t xml:space="preserve">to include future promises. </w:t>
      </w:r>
      <w:r>
        <w:rPr>
          <w:rFonts w:ascii="Times New Roman" w:eastAsia="Times New Roman" w:hAnsi="Times New Roman" w:cs="Times New Roman"/>
          <w:sz w:val="24"/>
          <w:szCs w:val="24"/>
        </w:rPr>
        <w:t xml:space="preserve">  </w:t>
      </w:r>
    </w:p>
    <w:p w14:paraId="10A99CAD" w14:textId="536D8840" w:rsidR="00C719F0" w:rsidRDefault="00C719F0" w:rsidP="000C3C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Plaintiff’s allegations of factual misrepresentation </w:t>
      </w:r>
      <w:r w:rsidR="00D32983">
        <w:rPr>
          <w:rFonts w:ascii="Times New Roman" w:eastAsia="Times New Roman" w:hAnsi="Times New Roman" w:cs="Times New Roman"/>
          <w:sz w:val="24"/>
          <w:szCs w:val="24"/>
        </w:rPr>
        <w:t xml:space="preserve">involve </w:t>
      </w:r>
      <w:r>
        <w:rPr>
          <w:rFonts w:ascii="Times New Roman" w:eastAsia="Times New Roman" w:hAnsi="Times New Roman" w:cs="Times New Roman"/>
          <w:sz w:val="24"/>
          <w:szCs w:val="24"/>
        </w:rPr>
        <w:t>existing fact, as those representations related to Defendants</w:t>
      </w:r>
      <w:r w:rsidR="00C61C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current ability to provide services to meet Ms. McCorkle’s care needs.  Defendants misrepresented, </w:t>
      </w:r>
      <w:r w:rsidRPr="00C719F0">
        <w:rPr>
          <w:rFonts w:ascii="Times New Roman" w:eastAsia="Times New Roman" w:hAnsi="Times New Roman" w:cs="Times New Roman"/>
          <w:i/>
          <w:iCs/>
          <w:sz w:val="24"/>
          <w:szCs w:val="24"/>
        </w:rPr>
        <w:t>inter alia</w:t>
      </w:r>
      <w:r>
        <w:rPr>
          <w:rFonts w:ascii="Times New Roman" w:eastAsia="Times New Roman" w:hAnsi="Times New Roman" w:cs="Times New Roman"/>
          <w:sz w:val="24"/>
          <w:szCs w:val="24"/>
        </w:rPr>
        <w:t>, the following:</w:t>
      </w:r>
    </w:p>
    <w:p w14:paraId="4FE77078" w14:textId="1898DC2E" w:rsidR="00C719F0" w:rsidRDefault="00C719F0" w:rsidP="00C719F0">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upon paying the </w:t>
      </w:r>
      <w:r w:rsidR="00B60CF8">
        <w:rPr>
          <w:rFonts w:ascii="Times New Roman" w:eastAsia="Times New Roman" w:hAnsi="Times New Roman" w:cs="Times New Roman"/>
          <w:sz w:val="24"/>
          <w:szCs w:val="24"/>
        </w:rPr>
        <w:t>$</w:t>
      </w:r>
      <w:r>
        <w:rPr>
          <w:rFonts w:ascii="Times New Roman" w:eastAsia="Times New Roman" w:hAnsi="Times New Roman" w:cs="Times New Roman"/>
          <w:sz w:val="24"/>
          <w:szCs w:val="24"/>
        </w:rPr>
        <w:t>335,000 entrance fee, residents could age in place</w:t>
      </w:r>
    </w:p>
    <w:p w14:paraId="634B2348" w14:textId="77777777" w:rsidR="00B60CF8" w:rsidRDefault="00B60CF8" w:rsidP="00C719F0">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719F0">
        <w:rPr>
          <w:rFonts w:ascii="Times New Roman" w:eastAsia="Times New Roman" w:hAnsi="Times New Roman" w:cs="Times New Roman"/>
          <w:sz w:val="24"/>
          <w:szCs w:val="24"/>
        </w:rPr>
        <w:t xml:space="preserve">ithin the community </w:t>
      </w:r>
      <w:r>
        <w:rPr>
          <w:rFonts w:ascii="Times New Roman" w:eastAsia="Times New Roman" w:hAnsi="Times New Roman" w:cs="Times New Roman"/>
          <w:sz w:val="24"/>
          <w:szCs w:val="24"/>
        </w:rPr>
        <w:t>by providing a corresponding higher level of</w:t>
      </w:r>
    </w:p>
    <w:p w14:paraId="11B89701" w14:textId="4983FA9F" w:rsidR="00C719F0" w:rsidRDefault="00B60CF8" w:rsidP="00C719F0">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to meet the resident’s increasing needs. </w:t>
      </w:r>
      <w:r w:rsidR="00C719F0">
        <w:rPr>
          <w:rFonts w:ascii="Times New Roman" w:eastAsia="Times New Roman" w:hAnsi="Times New Roman" w:cs="Times New Roman"/>
          <w:sz w:val="24"/>
          <w:szCs w:val="24"/>
        </w:rPr>
        <w:t xml:space="preserve">(Complaint, </w:t>
      </w:r>
      <w:r>
        <w:rPr>
          <w:rFonts w:ascii="Times New Roman" w:eastAsia="Times New Roman" w:hAnsi="Times New Roman" w:cs="Times New Roman"/>
          <w:sz w:val="24"/>
          <w:szCs w:val="24"/>
        </w:rPr>
        <w:t>¶ 36)</w:t>
      </w:r>
    </w:p>
    <w:p w14:paraId="4F795CF9" w14:textId="77777777" w:rsidR="00B60CF8" w:rsidRDefault="00B60CF8" w:rsidP="00C719F0">
      <w:pPr>
        <w:pStyle w:val="ListParagraph"/>
        <w:spacing w:after="0" w:line="240" w:lineRule="auto"/>
        <w:rPr>
          <w:rFonts w:ascii="Times New Roman" w:eastAsia="Times New Roman" w:hAnsi="Times New Roman" w:cs="Times New Roman"/>
          <w:sz w:val="24"/>
          <w:szCs w:val="24"/>
        </w:rPr>
      </w:pPr>
    </w:p>
    <w:p w14:paraId="2A43DF51" w14:textId="18D33E00" w:rsidR="00B60CF8" w:rsidRDefault="00B60CF8" w:rsidP="00B60CF8">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Defendant’s trained staff could meet Sara’s needs in providing</w:t>
      </w:r>
    </w:p>
    <w:p w14:paraId="1E516E7B" w14:textId="22DD9522" w:rsidR="00195327" w:rsidRDefault="00B60CF8" w:rsidP="00B60C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ADL care</w:t>
      </w:r>
      <w:r w:rsidR="001953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the assistance</w:t>
      </w:r>
      <w:r w:rsidR="00195327">
        <w:rPr>
          <w:rFonts w:ascii="Times New Roman" w:eastAsia="Times New Roman" w:hAnsi="Times New Roman" w:cs="Times New Roman"/>
          <w:sz w:val="24"/>
          <w:szCs w:val="24"/>
        </w:rPr>
        <w:t xml:space="preserve"> and extensive supervision </w:t>
      </w:r>
      <w:r>
        <w:rPr>
          <w:rFonts w:ascii="Times New Roman" w:eastAsia="Times New Roman" w:hAnsi="Times New Roman" w:cs="Times New Roman"/>
          <w:sz w:val="24"/>
          <w:szCs w:val="24"/>
        </w:rPr>
        <w:t>she required to</w:t>
      </w:r>
    </w:p>
    <w:p w14:paraId="5F0769AC" w14:textId="29AF0927" w:rsidR="00B60CF8" w:rsidRDefault="00B60CF8" w:rsidP="00B60C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safely bath and toilet</w:t>
      </w:r>
      <w:r w:rsidR="00195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60CF8">
        <w:rPr>
          <w:rFonts w:ascii="Times New Roman" w:eastAsia="Times New Roman" w:hAnsi="Times New Roman" w:cs="Times New Roman"/>
          <w:i/>
          <w:iCs/>
          <w:sz w:val="24"/>
          <w:szCs w:val="24"/>
        </w:rPr>
        <w:t>Id</w:t>
      </w:r>
      <w:r>
        <w:rPr>
          <w:rFonts w:ascii="Times New Roman" w:eastAsia="Times New Roman" w:hAnsi="Times New Roman" w:cs="Times New Roman"/>
          <w:sz w:val="24"/>
          <w:szCs w:val="24"/>
        </w:rPr>
        <w:t>., ¶</w:t>
      </w:r>
      <w:r w:rsidR="00220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37</w:t>
      </w:r>
      <w:r w:rsidR="00195327">
        <w:rPr>
          <w:rFonts w:ascii="Times New Roman" w:eastAsia="Times New Roman" w:hAnsi="Times New Roman" w:cs="Times New Roman"/>
          <w:sz w:val="24"/>
          <w:szCs w:val="24"/>
        </w:rPr>
        <w:t>, 38</w:t>
      </w:r>
      <w:r w:rsidR="0022052E">
        <w:rPr>
          <w:rFonts w:ascii="Times New Roman" w:eastAsia="Times New Roman" w:hAnsi="Times New Roman" w:cs="Times New Roman"/>
          <w:sz w:val="24"/>
          <w:szCs w:val="24"/>
        </w:rPr>
        <w:t xml:space="preserve"> &amp; 41</w:t>
      </w:r>
      <w:r>
        <w:rPr>
          <w:rFonts w:ascii="Times New Roman" w:eastAsia="Times New Roman" w:hAnsi="Times New Roman" w:cs="Times New Roman"/>
          <w:sz w:val="24"/>
          <w:szCs w:val="24"/>
        </w:rPr>
        <w:t>)</w:t>
      </w:r>
    </w:p>
    <w:p w14:paraId="3504F77C" w14:textId="5F295DFF" w:rsidR="00195327" w:rsidRDefault="00195327" w:rsidP="00195327">
      <w:pPr>
        <w:spacing w:after="0" w:line="240" w:lineRule="auto"/>
        <w:rPr>
          <w:rFonts w:ascii="Times New Roman" w:eastAsia="Times New Roman" w:hAnsi="Times New Roman" w:cs="Times New Roman"/>
          <w:sz w:val="24"/>
          <w:szCs w:val="24"/>
        </w:rPr>
      </w:pPr>
    </w:p>
    <w:p w14:paraId="1D4FAFE8" w14:textId="03F6C21E" w:rsidR="00195327" w:rsidRPr="00195327" w:rsidRDefault="00195327" w:rsidP="00195327">
      <w:pPr>
        <w:pStyle w:val="ListParagraph"/>
        <w:numPr>
          <w:ilvl w:val="0"/>
          <w:numId w:val="28"/>
        </w:numPr>
        <w:spacing w:after="0" w:line="240" w:lineRule="auto"/>
        <w:rPr>
          <w:rFonts w:ascii="Times New Roman" w:eastAsia="Times New Roman" w:hAnsi="Times New Roman" w:cs="Times New Roman"/>
          <w:sz w:val="24"/>
          <w:szCs w:val="24"/>
        </w:rPr>
      </w:pPr>
      <w:r w:rsidRPr="00195327">
        <w:rPr>
          <w:rFonts w:ascii="Times New Roman" w:eastAsia="Times New Roman" w:hAnsi="Times New Roman" w:cs="Times New Roman"/>
          <w:sz w:val="24"/>
          <w:szCs w:val="24"/>
        </w:rPr>
        <w:t>That’s Defendants had a pullcord and 24</w:t>
      </w:r>
      <w:r>
        <w:rPr>
          <w:rFonts w:ascii="Times New Roman" w:eastAsia="Times New Roman" w:hAnsi="Times New Roman" w:cs="Times New Roman"/>
          <w:sz w:val="24"/>
          <w:szCs w:val="24"/>
        </w:rPr>
        <w:t>-</w:t>
      </w:r>
      <w:r w:rsidRPr="00195327">
        <w:rPr>
          <w:rFonts w:ascii="Times New Roman" w:eastAsia="Times New Roman" w:hAnsi="Times New Roman" w:cs="Times New Roman"/>
          <w:sz w:val="24"/>
          <w:szCs w:val="24"/>
        </w:rPr>
        <w:t>hour emergency response service (</w:t>
      </w:r>
      <w:r w:rsidRPr="00DC39FF">
        <w:rPr>
          <w:rFonts w:ascii="Times New Roman" w:eastAsia="Times New Roman" w:hAnsi="Times New Roman" w:cs="Times New Roman"/>
          <w:i/>
          <w:iCs/>
          <w:sz w:val="24"/>
          <w:szCs w:val="24"/>
        </w:rPr>
        <w:t xml:space="preserve">Id., </w:t>
      </w:r>
      <w:r w:rsidRPr="00195327">
        <w:rPr>
          <w:rFonts w:ascii="Times New Roman" w:eastAsia="Times New Roman" w:hAnsi="Times New Roman" w:cs="Times New Roman"/>
          <w:sz w:val="24"/>
          <w:szCs w:val="24"/>
        </w:rPr>
        <w:t>¶ 40)</w:t>
      </w:r>
    </w:p>
    <w:p w14:paraId="73845BBA" w14:textId="77777777" w:rsidR="00195327" w:rsidRDefault="00195327" w:rsidP="00195327">
      <w:pPr>
        <w:spacing w:after="0" w:line="240" w:lineRule="auto"/>
        <w:rPr>
          <w:rFonts w:ascii="Times New Roman" w:eastAsia="Times New Roman" w:hAnsi="Times New Roman" w:cs="Times New Roman"/>
          <w:sz w:val="24"/>
          <w:szCs w:val="24"/>
        </w:rPr>
      </w:pPr>
    </w:p>
    <w:p w14:paraId="154EE43F" w14:textId="752F9BE8" w:rsidR="00195327" w:rsidRPr="00195327" w:rsidRDefault="00195327" w:rsidP="00195327">
      <w:pPr>
        <w:pStyle w:val="ListParagraph"/>
        <w:numPr>
          <w:ilvl w:val="0"/>
          <w:numId w:val="28"/>
        </w:numPr>
        <w:spacing w:after="0" w:line="240" w:lineRule="auto"/>
        <w:rPr>
          <w:rFonts w:ascii="Times New Roman" w:eastAsia="Times New Roman" w:hAnsi="Times New Roman" w:cs="Times New Roman"/>
          <w:sz w:val="24"/>
          <w:szCs w:val="24"/>
        </w:rPr>
      </w:pPr>
      <w:r w:rsidRPr="00195327">
        <w:rPr>
          <w:rFonts w:ascii="Times New Roman" w:eastAsia="Times New Roman" w:hAnsi="Times New Roman" w:cs="Times New Roman"/>
          <w:sz w:val="24"/>
          <w:szCs w:val="24"/>
        </w:rPr>
        <w:t xml:space="preserve">That Defendants had the ability to </w:t>
      </w:r>
      <w:proofErr w:type="gramStart"/>
      <w:r w:rsidRPr="00195327">
        <w:rPr>
          <w:rFonts w:ascii="Times New Roman" w:eastAsia="Times New Roman" w:hAnsi="Times New Roman" w:cs="Times New Roman"/>
          <w:sz w:val="24"/>
          <w:szCs w:val="24"/>
        </w:rPr>
        <w:t>provide assistance</w:t>
      </w:r>
      <w:proofErr w:type="gramEnd"/>
      <w:r w:rsidRPr="00195327">
        <w:rPr>
          <w:rFonts w:ascii="Times New Roman" w:eastAsia="Times New Roman" w:hAnsi="Times New Roman" w:cs="Times New Roman"/>
          <w:sz w:val="24"/>
          <w:szCs w:val="24"/>
        </w:rPr>
        <w:t xml:space="preserve"> with all ADL activities, including incontinence care, toileting, bathing and fall prevention. (</w:t>
      </w:r>
      <w:r w:rsidRPr="00DC39FF">
        <w:rPr>
          <w:rFonts w:ascii="Times New Roman" w:eastAsia="Times New Roman" w:hAnsi="Times New Roman" w:cs="Times New Roman"/>
          <w:i/>
          <w:iCs/>
          <w:sz w:val="24"/>
          <w:szCs w:val="24"/>
        </w:rPr>
        <w:t>Id.,</w:t>
      </w:r>
      <w:r w:rsidRPr="00195327">
        <w:rPr>
          <w:rFonts w:ascii="Times New Roman" w:eastAsia="Times New Roman" w:hAnsi="Times New Roman" w:cs="Times New Roman"/>
          <w:sz w:val="24"/>
          <w:szCs w:val="24"/>
        </w:rPr>
        <w:t xml:space="preserve"> ¶ 43)</w:t>
      </w:r>
    </w:p>
    <w:p w14:paraId="5B15F282" w14:textId="7405571D" w:rsidR="00B60CF8" w:rsidRDefault="00B60CF8" w:rsidP="00B60CF8">
      <w:pPr>
        <w:spacing w:after="0" w:line="240" w:lineRule="auto"/>
        <w:rPr>
          <w:rFonts w:ascii="Times New Roman" w:eastAsia="Times New Roman" w:hAnsi="Times New Roman" w:cs="Times New Roman"/>
          <w:sz w:val="24"/>
          <w:szCs w:val="24"/>
        </w:rPr>
      </w:pPr>
    </w:p>
    <w:p w14:paraId="0BEBF756" w14:textId="07766009" w:rsidR="00B60CF8" w:rsidRDefault="0022052E" w:rsidP="00B60CF8">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Defendant’s direct care staff would include 26 staff members on the</w:t>
      </w:r>
    </w:p>
    <w:p w14:paraId="634EE1E1" w14:textId="71393DE7" w:rsidR="0022052E" w:rsidRDefault="0022052E" w:rsidP="0022052E">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shift, 24 staff from 3 to 11 p.m. and 16 staff from 11 pm to 7 a.m. </w:t>
      </w:r>
    </w:p>
    <w:p w14:paraId="3C08C579" w14:textId="4362A86F" w:rsidR="0022052E" w:rsidRDefault="0022052E" w:rsidP="0022052E">
      <w:pPr>
        <w:spacing w:after="0" w:line="240" w:lineRule="auto"/>
        <w:ind w:left="360" w:firstLine="360"/>
        <w:jc w:val="both"/>
        <w:rPr>
          <w:rFonts w:ascii="Times New Roman" w:eastAsia="Times New Roman" w:hAnsi="Times New Roman" w:cs="Times New Roman"/>
          <w:sz w:val="24"/>
          <w:szCs w:val="24"/>
        </w:rPr>
      </w:pPr>
      <w:r w:rsidRPr="0022052E">
        <w:rPr>
          <w:rFonts w:ascii="Times New Roman" w:eastAsia="Times New Roman" w:hAnsi="Times New Roman" w:cs="Times New Roman"/>
          <w:i/>
          <w:iCs/>
          <w:sz w:val="24"/>
          <w:szCs w:val="24"/>
        </w:rPr>
        <w:t xml:space="preserve">(Id., </w:t>
      </w:r>
      <w:r>
        <w:rPr>
          <w:rFonts w:ascii="Times New Roman" w:eastAsia="Times New Roman" w:hAnsi="Times New Roman" w:cs="Times New Roman"/>
          <w:sz w:val="24"/>
          <w:szCs w:val="24"/>
        </w:rPr>
        <w:t>¶ 39)</w:t>
      </w:r>
    </w:p>
    <w:p w14:paraId="3AE48CDB" w14:textId="6CFC81ED" w:rsidR="0022052E" w:rsidRDefault="0022052E" w:rsidP="0022052E">
      <w:pPr>
        <w:spacing w:after="0" w:line="240" w:lineRule="auto"/>
        <w:jc w:val="both"/>
        <w:rPr>
          <w:rFonts w:ascii="Times New Roman" w:eastAsia="Times New Roman" w:hAnsi="Times New Roman" w:cs="Times New Roman"/>
          <w:sz w:val="24"/>
          <w:szCs w:val="24"/>
        </w:rPr>
      </w:pPr>
    </w:p>
    <w:p w14:paraId="0DB20DE0" w14:textId="53CAA3A4" w:rsidR="0022052E" w:rsidRPr="00FD52E1" w:rsidRDefault="00FD52E1" w:rsidP="0022052E">
      <w:pPr>
        <w:pStyle w:val="ListParagraph"/>
        <w:numPr>
          <w:ilvl w:val="0"/>
          <w:numId w:val="28"/>
        </w:numPr>
        <w:spacing w:after="0" w:line="240" w:lineRule="auto"/>
        <w:jc w:val="both"/>
        <w:rPr>
          <w:rFonts w:ascii="Times New Roman" w:eastAsia="Times New Roman" w:hAnsi="Times New Roman" w:cs="Times New Roman"/>
          <w:sz w:val="24"/>
          <w:szCs w:val="24"/>
        </w:rPr>
      </w:pPr>
      <w:r w:rsidRPr="00FD52E1">
        <w:rPr>
          <w:rFonts w:ascii="Times New Roman" w:eastAsia="Times New Roman" w:hAnsi="Times New Roman" w:cs="Times New Roman"/>
          <w:sz w:val="24"/>
          <w:szCs w:val="24"/>
        </w:rPr>
        <w:t>That Defendant would provide l</w:t>
      </w:r>
      <w:r w:rsidR="0022052E" w:rsidRPr="00FD52E1">
        <w:rPr>
          <w:rFonts w:ascii="Times New Roman" w:eastAsia="Times New Roman" w:hAnsi="Times New Roman" w:cs="Times New Roman"/>
          <w:sz w:val="24"/>
          <w:szCs w:val="24"/>
        </w:rPr>
        <w:t>icensed nurse management of chronic conditions on a regular basis</w:t>
      </w:r>
      <w:r w:rsidRPr="00FD52E1">
        <w:rPr>
          <w:rFonts w:ascii="Times New Roman" w:eastAsia="Times New Roman" w:hAnsi="Times New Roman" w:cs="Times New Roman"/>
          <w:sz w:val="24"/>
          <w:szCs w:val="24"/>
        </w:rPr>
        <w:t xml:space="preserve"> </w:t>
      </w:r>
      <w:r w:rsidR="0022052E" w:rsidRPr="00FD52E1">
        <w:rPr>
          <w:rFonts w:ascii="Times New Roman" w:eastAsia="Times New Roman" w:hAnsi="Times New Roman" w:cs="Times New Roman"/>
          <w:sz w:val="24"/>
          <w:szCs w:val="24"/>
        </w:rPr>
        <w:t>and regularly scheduled licensed nurse reviews and assessments</w:t>
      </w:r>
      <w:r w:rsidR="00195327" w:rsidRPr="00FD52E1">
        <w:rPr>
          <w:rFonts w:ascii="Times New Roman" w:eastAsia="Times New Roman" w:hAnsi="Times New Roman" w:cs="Times New Roman"/>
          <w:sz w:val="24"/>
          <w:szCs w:val="24"/>
        </w:rPr>
        <w:t>.</w:t>
      </w:r>
    </w:p>
    <w:p w14:paraId="4702DD56" w14:textId="6076EF9F" w:rsidR="0022052E" w:rsidRDefault="0022052E" w:rsidP="0022052E">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2052E">
        <w:rPr>
          <w:rFonts w:ascii="Times New Roman" w:eastAsia="Times New Roman" w:hAnsi="Times New Roman" w:cs="Times New Roman"/>
          <w:i/>
          <w:iCs/>
          <w:sz w:val="24"/>
          <w:szCs w:val="24"/>
        </w:rPr>
        <w:t>Id</w:t>
      </w:r>
      <w:r>
        <w:rPr>
          <w:rFonts w:ascii="Times New Roman" w:eastAsia="Times New Roman" w:hAnsi="Times New Roman" w:cs="Times New Roman"/>
          <w:sz w:val="24"/>
          <w:szCs w:val="24"/>
        </w:rPr>
        <w:t xml:space="preserve">., </w:t>
      </w:r>
      <w:r w:rsidR="00416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p>
    <w:p w14:paraId="3470E573" w14:textId="4F519E09" w:rsidR="0022052E" w:rsidRDefault="0022052E" w:rsidP="0022052E">
      <w:pPr>
        <w:spacing w:after="0" w:line="240" w:lineRule="auto"/>
        <w:jc w:val="both"/>
        <w:rPr>
          <w:rFonts w:ascii="Times New Roman" w:eastAsia="Times New Roman" w:hAnsi="Times New Roman" w:cs="Times New Roman"/>
          <w:sz w:val="24"/>
          <w:szCs w:val="24"/>
        </w:rPr>
      </w:pPr>
    </w:p>
    <w:p w14:paraId="0928A181" w14:textId="36C85756" w:rsidR="0022052E" w:rsidRDefault="006D710F" w:rsidP="003F797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w:t>
      </w:r>
      <w:r w:rsidRPr="006D710F">
        <w:rPr>
          <w:rFonts w:ascii="Times New Roman" w:eastAsia="Times New Roman" w:hAnsi="Times New Roman" w:cs="Times New Roman"/>
          <w:i/>
          <w:iCs/>
          <w:sz w:val="24"/>
          <w:szCs w:val="24"/>
        </w:rPr>
        <w:t>Beaty v. Manor Care</w:t>
      </w:r>
      <w:r>
        <w:rPr>
          <w:rFonts w:ascii="Times New Roman" w:eastAsia="Times New Roman" w:hAnsi="Times New Roman" w:cs="Times New Roman"/>
          <w:i/>
          <w:iCs/>
          <w:sz w:val="24"/>
          <w:szCs w:val="24"/>
        </w:rPr>
        <w:t xml:space="preserve">, </w:t>
      </w:r>
      <w:r w:rsidR="00E37B53">
        <w:rPr>
          <w:rFonts w:ascii="Times New Roman" w:eastAsia="Times New Roman" w:hAnsi="Times New Roman" w:cs="Times New Roman"/>
          <w:i/>
          <w:iCs/>
          <w:sz w:val="24"/>
          <w:szCs w:val="24"/>
        </w:rPr>
        <w:t xml:space="preserve">2003 U.S. Dist. LEXIS 25044, </w:t>
      </w:r>
      <w:r>
        <w:rPr>
          <w:rFonts w:ascii="Times New Roman" w:eastAsia="Times New Roman" w:hAnsi="Times New Roman" w:cs="Times New Roman"/>
          <w:i/>
          <w:iCs/>
          <w:sz w:val="24"/>
          <w:szCs w:val="24"/>
        </w:rPr>
        <w:t>Law</w:t>
      </w:r>
      <w:r>
        <w:rPr>
          <w:rFonts w:ascii="Times New Roman" w:eastAsia="Times New Roman" w:hAnsi="Times New Roman" w:cs="Times New Roman"/>
          <w:sz w:val="24"/>
          <w:szCs w:val="24"/>
        </w:rPr>
        <w:t xml:space="preserve"> No. 2-1720,</w:t>
      </w:r>
      <w:r w:rsidR="003F7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 Va. 2003)</w:t>
      </w:r>
      <w:r w:rsidR="003F7970">
        <w:rPr>
          <w:rFonts w:ascii="Times New Roman" w:eastAsia="Times New Roman" w:hAnsi="Times New Roman" w:cs="Times New Roman"/>
          <w:sz w:val="24"/>
          <w:szCs w:val="24"/>
        </w:rPr>
        <w:t>, Plaintiff sued under the VCPA based on the misrepresentation that the Fairfax nursing home claimed they had “high staffing ratios” and “highly trained staff who provided 24-hour supervision</w:t>
      </w:r>
      <w:r w:rsidR="003D314C">
        <w:rPr>
          <w:rFonts w:ascii="Times New Roman" w:eastAsia="Times New Roman" w:hAnsi="Times New Roman" w:cs="Times New Roman"/>
          <w:sz w:val="24"/>
          <w:szCs w:val="24"/>
        </w:rPr>
        <w:t>”</w:t>
      </w:r>
      <w:r w:rsidR="003F7970">
        <w:rPr>
          <w:rFonts w:ascii="Times New Roman" w:eastAsia="Times New Roman" w:hAnsi="Times New Roman" w:cs="Times New Roman"/>
          <w:sz w:val="24"/>
          <w:szCs w:val="24"/>
        </w:rPr>
        <w:t xml:space="preserve"> of </w:t>
      </w:r>
      <w:r w:rsidR="00BB24AA">
        <w:rPr>
          <w:rFonts w:ascii="Times New Roman" w:eastAsia="Times New Roman" w:hAnsi="Times New Roman" w:cs="Times New Roman"/>
          <w:sz w:val="24"/>
          <w:szCs w:val="24"/>
        </w:rPr>
        <w:t>Alzheimer’s patients</w:t>
      </w:r>
      <w:r w:rsidR="003F7970">
        <w:rPr>
          <w:rFonts w:ascii="Times New Roman" w:eastAsia="Times New Roman" w:hAnsi="Times New Roman" w:cs="Times New Roman"/>
          <w:sz w:val="24"/>
          <w:szCs w:val="24"/>
        </w:rPr>
        <w:t xml:space="preserve"> to ensure their safety. (</w:t>
      </w:r>
      <w:proofErr w:type="spellStart"/>
      <w:r w:rsidR="003F7970">
        <w:rPr>
          <w:rFonts w:ascii="Times New Roman" w:eastAsia="Times New Roman" w:hAnsi="Times New Roman" w:cs="Times New Roman"/>
          <w:sz w:val="24"/>
          <w:szCs w:val="24"/>
        </w:rPr>
        <w:t>Exh</w:t>
      </w:r>
      <w:proofErr w:type="spellEnd"/>
      <w:r w:rsidR="003F7970">
        <w:rPr>
          <w:rFonts w:ascii="Times New Roman" w:eastAsia="Times New Roman" w:hAnsi="Times New Roman" w:cs="Times New Roman"/>
          <w:sz w:val="24"/>
          <w:szCs w:val="24"/>
        </w:rPr>
        <w:t xml:space="preserve">. No. 1, pp </w:t>
      </w:r>
      <w:r w:rsidR="00E76618">
        <w:rPr>
          <w:rFonts w:ascii="Times New Roman" w:eastAsia="Times New Roman" w:hAnsi="Times New Roman" w:cs="Times New Roman"/>
          <w:sz w:val="24"/>
          <w:szCs w:val="24"/>
        </w:rPr>
        <w:t>1</w:t>
      </w:r>
      <w:r w:rsidR="003F7970">
        <w:rPr>
          <w:rFonts w:ascii="Times New Roman" w:eastAsia="Times New Roman" w:hAnsi="Times New Roman" w:cs="Times New Roman"/>
          <w:sz w:val="24"/>
          <w:szCs w:val="24"/>
        </w:rPr>
        <w:t xml:space="preserve"> &amp; </w:t>
      </w:r>
      <w:r w:rsidR="00E76618">
        <w:rPr>
          <w:rFonts w:ascii="Times New Roman" w:eastAsia="Times New Roman" w:hAnsi="Times New Roman" w:cs="Times New Roman"/>
          <w:sz w:val="24"/>
          <w:szCs w:val="24"/>
        </w:rPr>
        <w:t>2</w:t>
      </w:r>
      <w:r w:rsidR="003F7970">
        <w:rPr>
          <w:rFonts w:ascii="Times New Roman" w:eastAsia="Times New Roman" w:hAnsi="Times New Roman" w:cs="Times New Roman"/>
          <w:sz w:val="24"/>
          <w:szCs w:val="24"/>
        </w:rPr>
        <w:t xml:space="preserve">). </w:t>
      </w:r>
      <w:r w:rsidR="00BB24AA">
        <w:rPr>
          <w:rFonts w:ascii="Times New Roman" w:eastAsia="Times New Roman" w:hAnsi="Times New Roman" w:cs="Times New Roman"/>
          <w:sz w:val="24"/>
          <w:szCs w:val="24"/>
        </w:rPr>
        <w:t xml:space="preserve"> Defendants argued that these misrepresentations were opinions and relative terms subject to interpretation.  The Court disagreed, noting, </w:t>
      </w:r>
    </w:p>
    <w:p w14:paraId="1025796E" w14:textId="5B97E260" w:rsidR="00BB24AA" w:rsidRDefault="00BB24AA" w:rsidP="00BB2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the Supreme Court of Virginia has directed, the Court must take into</w:t>
      </w:r>
    </w:p>
    <w:p w14:paraId="6CD46CBE" w14:textId="6F1E990A" w:rsidR="00BB24AA" w:rsidRDefault="00BB24AA" w:rsidP="00BB2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10AD">
        <w:rPr>
          <w:rFonts w:ascii="Times New Roman" w:eastAsia="Times New Roman" w:hAnsi="Times New Roman" w:cs="Times New Roman"/>
          <w:sz w:val="24"/>
          <w:szCs w:val="24"/>
        </w:rPr>
        <w:t>c</w:t>
      </w:r>
      <w:r>
        <w:rPr>
          <w:rFonts w:ascii="Times New Roman" w:eastAsia="Times New Roman" w:hAnsi="Times New Roman" w:cs="Times New Roman"/>
          <w:sz w:val="24"/>
          <w:szCs w:val="24"/>
        </w:rPr>
        <w:t>onsideration the meaning of the language used</w:t>
      </w:r>
      <w:r w:rsidR="000610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applied to the subject</w:t>
      </w:r>
    </w:p>
    <w:p w14:paraId="3A77BB34" w14:textId="3079B210" w:rsidR="00BB24AA" w:rsidRDefault="00BB24AA" w:rsidP="00BB2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matter and as interpreted by the surrounding </w:t>
      </w:r>
      <w:proofErr w:type="gramStart"/>
      <w:r w:rsidR="00E637F4">
        <w:rPr>
          <w:rFonts w:ascii="Times New Roman" w:eastAsia="Times New Roman" w:hAnsi="Times New Roman" w:cs="Times New Roman"/>
          <w:sz w:val="24"/>
          <w:szCs w:val="24"/>
        </w:rPr>
        <w:t>circumstances.  .</w:t>
      </w:r>
      <w:proofErr w:type="gramEnd"/>
      <w:r w:rsidR="00E63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In this case</w:t>
      </w:r>
    </w:p>
    <w:p w14:paraId="72A5AEDD" w14:textId="47B0CD41" w:rsidR="00BB24AA" w:rsidRDefault="00BB24AA" w:rsidP="00BB2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Plaintiffs were looking for a p</w:t>
      </w:r>
      <w:r w:rsidR="00E637F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ace to put an </w:t>
      </w:r>
      <w:r w:rsidR="000610AD">
        <w:rPr>
          <w:rFonts w:ascii="Times New Roman" w:eastAsia="Times New Roman" w:hAnsi="Times New Roman" w:cs="Times New Roman"/>
          <w:sz w:val="24"/>
          <w:szCs w:val="24"/>
        </w:rPr>
        <w:t>83-year-old</w:t>
      </w:r>
      <w:r>
        <w:rPr>
          <w:rFonts w:ascii="Times New Roman" w:eastAsia="Times New Roman" w:hAnsi="Times New Roman" w:cs="Times New Roman"/>
          <w:sz w:val="24"/>
          <w:szCs w:val="24"/>
        </w:rPr>
        <w:t xml:space="preserve"> man with </w:t>
      </w:r>
      <w:r w:rsidR="00FD52E1">
        <w:rPr>
          <w:rFonts w:ascii="Times New Roman" w:eastAsia="Times New Roman" w:hAnsi="Times New Roman" w:cs="Times New Roman"/>
          <w:sz w:val="24"/>
          <w:szCs w:val="24"/>
        </w:rPr>
        <w:t>Alzheimer’s</w:t>
      </w:r>
    </w:p>
    <w:p w14:paraId="4D9AF8BD" w14:textId="4CE55B7B" w:rsidR="00BB24AA" w:rsidRDefault="00BB24AA" w:rsidP="00BB2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10A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ho had a </w:t>
      </w:r>
      <w:r w:rsidR="000610AD">
        <w:rPr>
          <w:rFonts w:ascii="Times New Roman" w:eastAsia="Times New Roman" w:hAnsi="Times New Roman" w:cs="Times New Roman"/>
          <w:sz w:val="24"/>
          <w:szCs w:val="24"/>
        </w:rPr>
        <w:t xml:space="preserve">propensity for wandering at </w:t>
      </w:r>
      <w:proofErr w:type="gramStart"/>
      <w:r w:rsidR="00FD52E1">
        <w:rPr>
          <w:rFonts w:ascii="Times New Roman" w:eastAsia="Times New Roman" w:hAnsi="Times New Roman" w:cs="Times New Roman"/>
          <w:sz w:val="24"/>
          <w:szCs w:val="24"/>
        </w:rPr>
        <w:t>night.</w:t>
      </w:r>
      <w:proofErr w:type="gramEnd"/>
      <w:r w:rsidR="00FD52E1">
        <w:rPr>
          <w:rFonts w:ascii="Times New Roman" w:eastAsia="Times New Roman" w:hAnsi="Times New Roman" w:cs="Times New Roman"/>
          <w:sz w:val="24"/>
          <w:szCs w:val="24"/>
        </w:rPr>
        <w:t xml:space="preserve"> </w:t>
      </w:r>
      <w:r w:rsidR="000610AD">
        <w:rPr>
          <w:rFonts w:ascii="Times New Roman" w:eastAsia="Times New Roman" w:hAnsi="Times New Roman" w:cs="Times New Roman"/>
          <w:sz w:val="24"/>
          <w:szCs w:val="24"/>
        </w:rPr>
        <w:t xml:space="preserve"> Defendants’ representations, </w:t>
      </w:r>
    </w:p>
    <w:p w14:paraId="410FB478" w14:textId="79D36FE0" w:rsidR="000610AD" w:rsidRDefault="000610AD" w:rsidP="00BB2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response to Plaintiff’s inquiries, took on the meaning inherent from the </w:t>
      </w:r>
    </w:p>
    <w:p w14:paraId="2BA5E4F4" w14:textId="2CAC22EF" w:rsidR="000610AD" w:rsidRDefault="000610AD" w:rsidP="00BB2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circumstances. </w:t>
      </w:r>
    </w:p>
    <w:p w14:paraId="28B6BCEB" w14:textId="057A3A26" w:rsidR="000610AD" w:rsidRDefault="000610AD" w:rsidP="00BB24AA">
      <w:pPr>
        <w:spacing w:after="0" w:line="240" w:lineRule="auto"/>
        <w:jc w:val="both"/>
        <w:rPr>
          <w:rFonts w:ascii="Times New Roman" w:eastAsia="Times New Roman" w:hAnsi="Times New Roman" w:cs="Times New Roman"/>
          <w:sz w:val="24"/>
          <w:szCs w:val="24"/>
        </w:rPr>
      </w:pPr>
    </w:p>
    <w:p w14:paraId="65027B43" w14:textId="5D571A33" w:rsidR="000610AD" w:rsidRDefault="003D314C" w:rsidP="000610A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52E1">
        <w:rPr>
          <w:rFonts w:ascii="Times New Roman" w:eastAsia="Times New Roman" w:hAnsi="Times New Roman" w:cs="Times New Roman"/>
          <w:i/>
          <w:iCs/>
          <w:sz w:val="24"/>
          <w:szCs w:val="24"/>
        </w:rPr>
        <w:t>Id</w:t>
      </w:r>
      <w:r>
        <w:rPr>
          <w:rFonts w:ascii="Times New Roman" w:eastAsia="Times New Roman" w:hAnsi="Times New Roman" w:cs="Times New Roman"/>
          <w:sz w:val="24"/>
          <w:szCs w:val="24"/>
        </w:rPr>
        <w:t xml:space="preserve">., p. </w:t>
      </w:r>
      <w:r w:rsidR="00E7661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0610AD">
        <w:rPr>
          <w:rFonts w:ascii="Times New Roman" w:eastAsia="Times New Roman" w:hAnsi="Times New Roman" w:cs="Times New Roman"/>
          <w:sz w:val="24"/>
          <w:szCs w:val="24"/>
        </w:rPr>
        <w:t>Here, the circumstances are almost identical, as Plaintiff</w:t>
      </w:r>
      <w:r w:rsidR="00E76618">
        <w:rPr>
          <w:rFonts w:ascii="Times New Roman" w:eastAsia="Times New Roman" w:hAnsi="Times New Roman" w:cs="Times New Roman"/>
          <w:sz w:val="24"/>
          <w:szCs w:val="24"/>
        </w:rPr>
        <w:t xml:space="preserve"> was also </w:t>
      </w:r>
      <w:r w:rsidR="000610AD">
        <w:rPr>
          <w:rFonts w:ascii="Times New Roman" w:eastAsia="Times New Roman" w:hAnsi="Times New Roman" w:cs="Times New Roman"/>
          <w:sz w:val="24"/>
          <w:szCs w:val="24"/>
        </w:rPr>
        <w:t>seeking assurances that the staff had the ability to care for the increasingly demented Ms. McCorkle, as she was prone to get up and self-toilet.</w:t>
      </w:r>
      <w:r w:rsidR="00F524F8" w:rsidRPr="00E76618">
        <w:rPr>
          <w:rStyle w:val="FootnoteReference"/>
          <w:rFonts w:eastAsia="Times New Roman" w:cs="Times New Roman"/>
          <w:sz w:val="24"/>
          <w:szCs w:val="24"/>
          <w:vertAlign w:val="superscript"/>
        </w:rPr>
        <w:footnoteReference w:id="6"/>
      </w:r>
    </w:p>
    <w:p w14:paraId="1BFEAE63" w14:textId="4611CF32" w:rsidR="000610AD" w:rsidRDefault="000610AD" w:rsidP="000610A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Pr="00A209EE">
        <w:rPr>
          <w:rFonts w:ascii="Times New Roman" w:eastAsia="Times New Roman" w:hAnsi="Times New Roman" w:cs="Times New Roman"/>
          <w:i/>
          <w:iCs/>
          <w:sz w:val="24"/>
          <w:szCs w:val="24"/>
        </w:rPr>
        <w:t>Beaty</w:t>
      </w:r>
      <w:r>
        <w:rPr>
          <w:rFonts w:ascii="Times New Roman" w:eastAsia="Times New Roman" w:hAnsi="Times New Roman" w:cs="Times New Roman"/>
          <w:sz w:val="24"/>
          <w:szCs w:val="24"/>
        </w:rPr>
        <w:t xml:space="preserve"> Court also explained that a future promise is actionable if there is no intention to perform when the promise is made.  </w:t>
      </w:r>
      <w:r w:rsidR="00A209EE" w:rsidRPr="00A209EE">
        <w:rPr>
          <w:rFonts w:ascii="Times New Roman" w:eastAsia="Times New Roman" w:hAnsi="Times New Roman" w:cs="Times New Roman"/>
          <w:i/>
          <w:iCs/>
          <w:sz w:val="24"/>
          <w:szCs w:val="24"/>
        </w:rPr>
        <w:t>Id.,</w:t>
      </w:r>
      <w:r w:rsidR="00A209EE">
        <w:rPr>
          <w:rFonts w:ascii="Times New Roman" w:eastAsia="Times New Roman" w:hAnsi="Times New Roman" w:cs="Times New Roman"/>
          <w:sz w:val="24"/>
          <w:szCs w:val="24"/>
        </w:rPr>
        <w:t xml:space="preserve"> citing </w:t>
      </w:r>
      <w:r w:rsidR="00A209EE" w:rsidRPr="00F524F8">
        <w:rPr>
          <w:rFonts w:ascii="Times New Roman" w:eastAsia="Times New Roman" w:hAnsi="Times New Roman" w:cs="Times New Roman"/>
          <w:i/>
          <w:iCs/>
          <w:sz w:val="24"/>
          <w:szCs w:val="24"/>
        </w:rPr>
        <w:t>Colonial Ford Truck Sales v. Schneider</w:t>
      </w:r>
      <w:r w:rsidR="00A209EE">
        <w:rPr>
          <w:rFonts w:ascii="Times New Roman" w:eastAsia="Times New Roman" w:hAnsi="Times New Roman" w:cs="Times New Roman"/>
          <w:sz w:val="24"/>
          <w:szCs w:val="24"/>
        </w:rPr>
        <w:t xml:space="preserve">, 228 Va. 671, 676, 325 S.E.2d 91, 94 (1985). </w:t>
      </w:r>
      <w:r>
        <w:rPr>
          <w:rFonts w:ascii="Times New Roman" w:eastAsia="Times New Roman" w:hAnsi="Times New Roman" w:cs="Times New Roman"/>
          <w:sz w:val="24"/>
          <w:szCs w:val="24"/>
        </w:rPr>
        <w:tab/>
      </w:r>
      <w:r w:rsidR="00FD52E1">
        <w:rPr>
          <w:rFonts w:ascii="Times New Roman" w:eastAsia="Times New Roman" w:hAnsi="Times New Roman" w:cs="Times New Roman"/>
          <w:sz w:val="24"/>
          <w:szCs w:val="24"/>
        </w:rPr>
        <w:t xml:space="preserve">This </w:t>
      </w:r>
      <w:r w:rsidR="00A209EE">
        <w:rPr>
          <w:rFonts w:ascii="Times New Roman" w:eastAsia="Times New Roman" w:hAnsi="Times New Roman" w:cs="Times New Roman"/>
          <w:sz w:val="24"/>
          <w:szCs w:val="24"/>
        </w:rPr>
        <w:t>ruling is consistent with the language of the VCPA</w:t>
      </w:r>
      <w:r w:rsidR="00F524F8">
        <w:rPr>
          <w:rFonts w:ascii="Times New Roman" w:eastAsia="Times New Roman" w:hAnsi="Times New Roman" w:cs="Times New Roman"/>
          <w:sz w:val="24"/>
          <w:szCs w:val="24"/>
        </w:rPr>
        <w:t xml:space="preserve">, </w:t>
      </w:r>
      <w:r w:rsidR="00A209EE">
        <w:rPr>
          <w:rFonts w:ascii="Times New Roman" w:eastAsia="Times New Roman" w:hAnsi="Times New Roman" w:cs="Times New Roman"/>
          <w:sz w:val="24"/>
          <w:szCs w:val="24"/>
        </w:rPr>
        <w:t xml:space="preserve">which includes a “false promise” as being actionable.  </w:t>
      </w:r>
      <w:r w:rsidR="00F524F8">
        <w:rPr>
          <w:rFonts w:ascii="Times New Roman" w:eastAsia="Times New Roman" w:hAnsi="Times New Roman" w:cs="Times New Roman"/>
          <w:sz w:val="24"/>
          <w:szCs w:val="24"/>
        </w:rPr>
        <w:t xml:space="preserve">Va. Code 59.1-200 (14). </w:t>
      </w:r>
    </w:p>
    <w:p w14:paraId="75611F90" w14:textId="57EA8D00" w:rsidR="00E37B53" w:rsidRDefault="002D5546" w:rsidP="000610A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7B53">
        <w:rPr>
          <w:rFonts w:ascii="Times New Roman" w:eastAsia="Times New Roman" w:hAnsi="Times New Roman" w:cs="Times New Roman"/>
          <w:sz w:val="24"/>
          <w:szCs w:val="24"/>
        </w:rPr>
        <w:t>Other Virginia Courts</w:t>
      </w:r>
      <w:r w:rsidR="00B31E7D">
        <w:rPr>
          <w:rFonts w:ascii="Times New Roman" w:eastAsia="Times New Roman" w:hAnsi="Times New Roman" w:cs="Times New Roman"/>
          <w:sz w:val="24"/>
          <w:szCs w:val="24"/>
        </w:rPr>
        <w:t xml:space="preserve">, including this one, </w:t>
      </w:r>
      <w:r w:rsidR="00E37B53">
        <w:rPr>
          <w:rFonts w:ascii="Times New Roman" w:eastAsia="Times New Roman" w:hAnsi="Times New Roman" w:cs="Times New Roman"/>
          <w:sz w:val="24"/>
          <w:szCs w:val="24"/>
        </w:rPr>
        <w:t xml:space="preserve">have allowed VCPA claims based </w:t>
      </w:r>
      <w:r w:rsidR="00B31E7D">
        <w:rPr>
          <w:rFonts w:ascii="Times New Roman" w:eastAsia="Times New Roman" w:hAnsi="Times New Roman" w:cs="Times New Roman"/>
          <w:sz w:val="24"/>
          <w:szCs w:val="24"/>
        </w:rPr>
        <w:t>upon</w:t>
      </w:r>
      <w:r w:rsidR="00E37B53">
        <w:rPr>
          <w:rFonts w:ascii="Times New Roman" w:eastAsia="Times New Roman" w:hAnsi="Times New Roman" w:cs="Times New Roman"/>
          <w:sz w:val="24"/>
          <w:szCs w:val="24"/>
        </w:rPr>
        <w:t xml:space="preserve"> similar allegations.</w:t>
      </w:r>
      <w:r w:rsidR="00B31E7D">
        <w:rPr>
          <w:rFonts w:ascii="Times New Roman" w:eastAsia="Times New Roman" w:hAnsi="Times New Roman" w:cs="Times New Roman"/>
          <w:sz w:val="24"/>
          <w:szCs w:val="24"/>
        </w:rPr>
        <w:t xml:space="preserve"> </w:t>
      </w:r>
      <w:r w:rsidR="00B31E7D" w:rsidRPr="00B31E7D">
        <w:rPr>
          <w:rFonts w:ascii="Times New Roman" w:eastAsia="Times New Roman" w:hAnsi="Times New Roman" w:cs="Times New Roman"/>
          <w:i/>
          <w:iCs/>
          <w:sz w:val="24"/>
          <w:szCs w:val="24"/>
        </w:rPr>
        <w:t>Henderson v. Hickory Hill Retirement Community</w:t>
      </w:r>
      <w:r w:rsidR="00B31E7D">
        <w:rPr>
          <w:rFonts w:ascii="Times New Roman" w:eastAsia="Times New Roman" w:hAnsi="Times New Roman" w:cs="Times New Roman"/>
          <w:sz w:val="24"/>
          <w:szCs w:val="24"/>
        </w:rPr>
        <w:t xml:space="preserve">, Law CL19-187 (VCPA claim stated against assisted living facility where Defendants allegedly made fraudulent </w:t>
      </w:r>
      <w:r w:rsidR="0005737E">
        <w:rPr>
          <w:rFonts w:ascii="Times New Roman" w:eastAsia="Times New Roman" w:hAnsi="Times New Roman" w:cs="Times New Roman"/>
          <w:sz w:val="24"/>
          <w:szCs w:val="24"/>
        </w:rPr>
        <w:lastRenderedPageBreak/>
        <w:t>misrepresentations</w:t>
      </w:r>
      <w:r w:rsidR="00B31E7D">
        <w:rPr>
          <w:rFonts w:ascii="Times New Roman" w:eastAsia="Times New Roman" w:hAnsi="Times New Roman" w:cs="Times New Roman"/>
          <w:sz w:val="24"/>
          <w:szCs w:val="24"/>
        </w:rPr>
        <w:t xml:space="preserve"> about their ability to care for </w:t>
      </w:r>
      <w:r w:rsidR="0005737E">
        <w:rPr>
          <w:rFonts w:ascii="Times New Roman" w:eastAsia="Times New Roman" w:hAnsi="Times New Roman" w:cs="Times New Roman"/>
          <w:sz w:val="24"/>
          <w:szCs w:val="24"/>
        </w:rPr>
        <w:t xml:space="preserve">Mr. Henderson, </w:t>
      </w:r>
      <w:proofErr w:type="gramStart"/>
      <w:r w:rsidR="0005737E">
        <w:rPr>
          <w:rFonts w:ascii="Times New Roman" w:eastAsia="Times New Roman" w:hAnsi="Times New Roman" w:cs="Times New Roman"/>
          <w:sz w:val="24"/>
          <w:szCs w:val="24"/>
        </w:rPr>
        <w:t>in an effort to</w:t>
      </w:r>
      <w:proofErr w:type="gramEnd"/>
      <w:r w:rsidR="0005737E">
        <w:rPr>
          <w:rFonts w:ascii="Times New Roman" w:eastAsia="Times New Roman" w:hAnsi="Times New Roman" w:cs="Times New Roman"/>
          <w:sz w:val="24"/>
          <w:szCs w:val="24"/>
        </w:rPr>
        <w:t xml:space="preserve"> lure Plaintiff into the </w:t>
      </w:r>
      <w:r w:rsidR="0074503A">
        <w:rPr>
          <w:rFonts w:ascii="Times New Roman" w:eastAsia="Times New Roman" w:hAnsi="Times New Roman" w:cs="Times New Roman"/>
          <w:sz w:val="24"/>
          <w:szCs w:val="24"/>
        </w:rPr>
        <w:t>facility) (</w:t>
      </w:r>
      <w:proofErr w:type="spellStart"/>
      <w:r w:rsidR="0005737E">
        <w:rPr>
          <w:rFonts w:ascii="Times New Roman" w:eastAsia="Times New Roman" w:hAnsi="Times New Roman" w:cs="Times New Roman"/>
          <w:sz w:val="24"/>
          <w:szCs w:val="24"/>
        </w:rPr>
        <w:t>Exh</w:t>
      </w:r>
      <w:proofErr w:type="spellEnd"/>
      <w:r w:rsidR="0005737E">
        <w:rPr>
          <w:rFonts w:ascii="Times New Roman" w:eastAsia="Times New Roman" w:hAnsi="Times New Roman" w:cs="Times New Roman"/>
          <w:sz w:val="24"/>
          <w:szCs w:val="24"/>
        </w:rPr>
        <w:t xml:space="preserve">. No. 2); </w:t>
      </w:r>
      <w:r w:rsidR="00B31E7D" w:rsidRPr="00741099">
        <w:rPr>
          <w:rFonts w:ascii="Times New Roman" w:eastAsia="Times New Roman" w:hAnsi="Times New Roman" w:cs="Times New Roman"/>
          <w:i/>
          <w:iCs/>
          <w:sz w:val="24"/>
          <w:szCs w:val="24"/>
        </w:rPr>
        <w:t>Corrales v. HHC Poplar Springs</w:t>
      </w:r>
      <w:r w:rsidR="00B31E7D">
        <w:rPr>
          <w:rFonts w:ascii="Times New Roman" w:eastAsia="Times New Roman" w:hAnsi="Times New Roman" w:cs="Times New Roman"/>
          <w:sz w:val="24"/>
          <w:szCs w:val="24"/>
        </w:rPr>
        <w:t>, Law No. 15000378 (</w:t>
      </w:r>
      <w:proofErr w:type="gramStart"/>
      <w:r w:rsidR="00B31E7D">
        <w:rPr>
          <w:rFonts w:ascii="Times New Roman" w:eastAsia="Times New Roman" w:hAnsi="Times New Roman" w:cs="Times New Roman"/>
          <w:sz w:val="24"/>
          <w:szCs w:val="24"/>
        </w:rPr>
        <w:t>Petersburg</w:t>
      </w:r>
      <w:r w:rsidR="003D314C">
        <w:rPr>
          <w:rFonts w:ascii="Times New Roman" w:eastAsia="Times New Roman" w:hAnsi="Times New Roman" w:cs="Times New Roman"/>
          <w:sz w:val="24"/>
          <w:szCs w:val="24"/>
        </w:rPr>
        <w:t xml:space="preserve"> </w:t>
      </w:r>
      <w:r w:rsidR="00B31E7D">
        <w:rPr>
          <w:rFonts w:ascii="Times New Roman" w:eastAsia="Times New Roman" w:hAnsi="Times New Roman" w:cs="Times New Roman"/>
          <w:sz w:val="24"/>
          <w:szCs w:val="24"/>
        </w:rPr>
        <w:t xml:space="preserve"> 2015</w:t>
      </w:r>
      <w:proofErr w:type="gramEnd"/>
      <w:r w:rsidR="00B31E7D">
        <w:rPr>
          <w:rFonts w:ascii="Times New Roman" w:eastAsia="Times New Roman" w:hAnsi="Times New Roman" w:cs="Times New Roman"/>
          <w:sz w:val="24"/>
          <w:szCs w:val="24"/>
        </w:rPr>
        <w:t>)(VCPA claim stated where Defendants misrepresented expertise in treating PTSD patients and provid</w:t>
      </w:r>
      <w:r w:rsidR="00FD52E1">
        <w:rPr>
          <w:rFonts w:ascii="Times New Roman" w:eastAsia="Times New Roman" w:hAnsi="Times New Roman" w:cs="Times New Roman"/>
          <w:sz w:val="24"/>
          <w:szCs w:val="24"/>
        </w:rPr>
        <w:t>ing</w:t>
      </w:r>
      <w:r w:rsidR="00B31E7D">
        <w:rPr>
          <w:rFonts w:ascii="Times New Roman" w:eastAsia="Times New Roman" w:hAnsi="Times New Roman" w:cs="Times New Roman"/>
          <w:sz w:val="24"/>
          <w:szCs w:val="24"/>
        </w:rPr>
        <w:t xml:space="preserve"> a secure and therapeutic military unit)(</w:t>
      </w:r>
      <w:proofErr w:type="spellStart"/>
      <w:r w:rsidR="00B31E7D">
        <w:rPr>
          <w:rFonts w:ascii="Times New Roman" w:eastAsia="Times New Roman" w:hAnsi="Times New Roman" w:cs="Times New Roman"/>
          <w:sz w:val="24"/>
          <w:szCs w:val="24"/>
        </w:rPr>
        <w:t>Exh</w:t>
      </w:r>
      <w:proofErr w:type="spellEnd"/>
      <w:r w:rsidR="00B31E7D">
        <w:rPr>
          <w:rFonts w:ascii="Times New Roman" w:eastAsia="Times New Roman" w:hAnsi="Times New Roman" w:cs="Times New Roman"/>
          <w:sz w:val="24"/>
          <w:szCs w:val="24"/>
        </w:rPr>
        <w:t xml:space="preserve">. No. </w:t>
      </w:r>
      <w:r w:rsidR="0005737E">
        <w:rPr>
          <w:rFonts w:ascii="Times New Roman" w:eastAsia="Times New Roman" w:hAnsi="Times New Roman" w:cs="Times New Roman"/>
          <w:sz w:val="24"/>
          <w:szCs w:val="24"/>
        </w:rPr>
        <w:t>3</w:t>
      </w:r>
      <w:r w:rsidR="00B31E7D">
        <w:rPr>
          <w:rFonts w:ascii="Times New Roman" w:eastAsia="Times New Roman" w:hAnsi="Times New Roman" w:cs="Times New Roman"/>
          <w:sz w:val="24"/>
          <w:szCs w:val="24"/>
        </w:rPr>
        <w:t xml:space="preserve">). </w:t>
      </w:r>
      <w:r w:rsidR="0005737E">
        <w:rPr>
          <w:rFonts w:ascii="Times New Roman" w:eastAsia="Times New Roman" w:hAnsi="Times New Roman" w:cs="Times New Roman"/>
          <w:sz w:val="24"/>
          <w:szCs w:val="24"/>
        </w:rPr>
        <w:t>H</w:t>
      </w:r>
      <w:r w:rsidR="00E37B53" w:rsidRPr="008F4CF6">
        <w:rPr>
          <w:rFonts w:ascii="Times New Roman" w:eastAsia="Times New Roman" w:hAnsi="Times New Roman" w:cs="Times New Roman"/>
          <w:i/>
          <w:iCs/>
          <w:sz w:val="24"/>
          <w:szCs w:val="24"/>
        </w:rPr>
        <w:t>umphrey v. Leewood HealthCare Center</w:t>
      </w:r>
      <w:r w:rsidR="00E37B53">
        <w:rPr>
          <w:rFonts w:ascii="Times New Roman" w:eastAsia="Times New Roman" w:hAnsi="Times New Roman" w:cs="Times New Roman"/>
          <w:sz w:val="24"/>
          <w:szCs w:val="24"/>
        </w:rPr>
        <w:t xml:space="preserve"> 73 Va. Cir. 346 (Fairfax </w:t>
      </w:r>
      <w:proofErr w:type="gramStart"/>
      <w:r w:rsidR="00E37B53">
        <w:rPr>
          <w:rFonts w:ascii="Times New Roman" w:eastAsia="Times New Roman" w:hAnsi="Times New Roman" w:cs="Times New Roman"/>
          <w:sz w:val="24"/>
          <w:szCs w:val="24"/>
        </w:rPr>
        <w:t>20</w:t>
      </w:r>
      <w:r w:rsidR="00B31E7D">
        <w:rPr>
          <w:rFonts w:ascii="Times New Roman" w:eastAsia="Times New Roman" w:hAnsi="Times New Roman" w:cs="Times New Roman"/>
          <w:sz w:val="24"/>
          <w:szCs w:val="24"/>
        </w:rPr>
        <w:t>07</w:t>
      </w:r>
      <w:r w:rsidR="00E37B53">
        <w:rPr>
          <w:rFonts w:ascii="Times New Roman" w:eastAsia="Times New Roman" w:hAnsi="Times New Roman" w:cs="Times New Roman"/>
          <w:sz w:val="24"/>
          <w:szCs w:val="24"/>
        </w:rPr>
        <w:t>)(</w:t>
      </w:r>
      <w:proofErr w:type="gramEnd"/>
      <w:r w:rsidR="00E37B53">
        <w:rPr>
          <w:rFonts w:ascii="Times New Roman" w:eastAsia="Times New Roman" w:hAnsi="Times New Roman" w:cs="Times New Roman"/>
          <w:sz w:val="24"/>
          <w:szCs w:val="24"/>
        </w:rPr>
        <w:t xml:space="preserve">Holding that Plaintiff could pursue a VCPA claim against a nursing facility that failed to prevent a patient from </w:t>
      </w:r>
      <w:r w:rsidR="008F4CF6">
        <w:rPr>
          <w:rFonts w:ascii="Times New Roman" w:eastAsia="Times New Roman" w:hAnsi="Times New Roman" w:cs="Times New Roman"/>
          <w:sz w:val="24"/>
          <w:szCs w:val="24"/>
        </w:rPr>
        <w:t xml:space="preserve">elopement, </w:t>
      </w:r>
      <w:r w:rsidR="0005737E">
        <w:rPr>
          <w:rFonts w:ascii="Times New Roman" w:eastAsia="Times New Roman" w:hAnsi="Times New Roman" w:cs="Times New Roman"/>
          <w:sz w:val="24"/>
          <w:szCs w:val="24"/>
        </w:rPr>
        <w:t xml:space="preserve">where Defendants promised </w:t>
      </w:r>
      <w:r w:rsidR="008F4CF6">
        <w:rPr>
          <w:rFonts w:ascii="Times New Roman" w:eastAsia="Times New Roman" w:hAnsi="Times New Roman" w:cs="Times New Roman"/>
          <w:sz w:val="24"/>
          <w:szCs w:val="24"/>
        </w:rPr>
        <w:t>to provide a level of care appropriate for Plaintiff’s needs</w:t>
      </w:r>
      <w:r w:rsidR="0074503A">
        <w:rPr>
          <w:rFonts w:ascii="Times New Roman" w:eastAsia="Times New Roman" w:hAnsi="Times New Roman" w:cs="Times New Roman"/>
          <w:sz w:val="24"/>
          <w:szCs w:val="24"/>
        </w:rPr>
        <w:t>.</w:t>
      </w:r>
      <w:r w:rsidR="008F4CF6" w:rsidRPr="000011AA">
        <w:rPr>
          <w:rStyle w:val="FootnoteReference"/>
          <w:rFonts w:eastAsia="Times New Roman" w:cs="Times New Roman"/>
          <w:sz w:val="24"/>
          <w:szCs w:val="24"/>
          <w:vertAlign w:val="superscript"/>
        </w:rPr>
        <w:footnoteReference w:id="7"/>
      </w:r>
    </w:p>
    <w:p w14:paraId="0812712C" w14:textId="077FF7D1" w:rsidR="00450135" w:rsidRDefault="003D314C" w:rsidP="003D314C">
      <w:pPr>
        <w:widowControl w:val="0"/>
        <w:suppressAutoHyphens/>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23F76">
        <w:rPr>
          <w:rFonts w:ascii="Times New Roman" w:eastAsia="Times New Roman" w:hAnsi="Times New Roman" w:cs="Times New Roman"/>
          <w:sz w:val="24"/>
          <w:szCs w:val="24"/>
        </w:rPr>
        <w:t>Consistent with the liberal application of consumer protection statutes, courts from other jurisdictions have found claims involving</w:t>
      </w:r>
      <w:r w:rsidR="0074503A">
        <w:rPr>
          <w:rFonts w:ascii="Times New Roman" w:eastAsia="Times New Roman" w:hAnsi="Times New Roman" w:cs="Times New Roman"/>
          <w:sz w:val="24"/>
          <w:szCs w:val="24"/>
        </w:rPr>
        <w:t xml:space="preserve"> healthcare providers</w:t>
      </w:r>
      <w:r w:rsidRPr="00423F76">
        <w:rPr>
          <w:rFonts w:ascii="Times New Roman" w:eastAsia="Times New Roman" w:hAnsi="Times New Roman" w:cs="Times New Roman"/>
          <w:sz w:val="24"/>
          <w:szCs w:val="24"/>
        </w:rPr>
        <w:t xml:space="preserve"> to be covered under their state’s consumer protection acts.  </w:t>
      </w:r>
      <w:r w:rsidR="00450135" w:rsidRPr="00423F76">
        <w:rPr>
          <w:rFonts w:ascii="Times New Roman" w:eastAsia="Times New Roman" w:hAnsi="Times New Roman" w:cs="Times New Roman"/>
          <w:i/>
          <w:sz w:val="24"/>
          <w:szCs w:val="24"/>
        </w:rPr>
        <w:t>Dorn v. McTigue</w:t>
      </w:r>
      <w:r w:rsidR="00450135" w:rsidRPr="00423F76">
        <w:rPr>
          <w:rFonts w:ascii="Times New Roman" w:eastAsia="Times New Roman" w:hAnsi="Times New Roman" w:cs="Times New Roman"/>
          <w:sz w:val="24"/>
          <w:szCs w:val="24"/>
        </w:rPr>
        <w:t xml:space="preserve">, 157 F. Supp. 2d 37 (D.D.C. 2001) (holding that the District of Columbia Consumer Procedures and Protection Act applied to health care providers if plaintiff satisfied the threshold requirements of the Act); </w:t>
      </w:r>
      <w:r w:rsidR="00450135" w:rsidRPr="00450135">
        <w:rPr>
          <w:rFonts w:ascii="Times New Roman" w:eastAsia="Times New Roman" w:hAnsi="Times New Roman" w:cs="Times New Roman"/>
          <w:i/>
          <w:iCs/>
          <w:sz w:val="24"/>
          <w:szCs w:val="24"/>
        </w:rPr>
        <w:t>Chapman v. Wilson</w:t>
      </w:r>
      <w:r w:rsidR="00450135">
        <w:rPr>
          <w:rFonts w:ascii="Times New Roman" w:eastAsia="Times New Roman" w:hAnsi="Times New Roman" w:cs="Times New Roman"/>
          <w:sz w:val="24"/>
          <w:szCs w:val="24"/>
        </w:rPr>
        <w:t>, 826 S.W.2d 214 (</w:t>
      </w:r>
      <w:proofErr w:type="spellStart"/>
      <w:r w:rsidR="00450135">
        <w:rPr>
          <w:rFonts w:ascii="Times New Roman" w:eastAsia="Times New Roman" w:hAnsi="Times New Roman" w:cs="Times New Roman"/>
          <w:sz w:val="24"/>
          <w:szCs w:val="24"/>
        </w:rPr>
        <w:t>Tex</w:t>
      </w:r>
      <w:proofErr w:type="spellEnd"/>
      <w:r w:rsidR="00450135">
        <w:rPr>
          <w:rFonts w:ascii="Times New Roman" w:eastAsia="Times New Roman" w:hAnsi="Times New Roman" w:cs="Times New Roman"/>
          <w:sz w:val="24"/>
          <w:szCs w:val="24"/>
        </w:rPr>
        <w:t xml:space="preserve"> Ct. </w:t>
      </w:r>
      <w:proofErr w:type="gramStart"/>
      <w:r w:rsidR="00450135">
        <w:rPr>
          <w:rFonts w:ascii="Times New Roman" w:eastAsia="Times New Roman" w:hAnsi="Times New Roman" w:cs="Times New Roman"/>
          <w:sz w:val="24"/>
          <w:szCs w:val="24"/>
        </w:rPr>
        <w:t>App.)(</w:t>
      </w:r>
      <w:proofErr w:type="gramEnd"/>
      <w:r w:rsidR="00FB6D0D">
        <w:rPr>
          <w:rFonts w:ascii="Times New Roman" w:eastAsia="Times New Roman" w:hAnsi="Times New Roman" w:cs="Times New Roman"/>
          <w:sz w:val="24"/>
          <w:szCs w:val="24"/>
        </w:rPr>
        <w:t>Dentist who made false statements regarding his expertise in wisdom tooth extractions and use of general anesthesia could be sued under the Deceptive Trade Practices Act).</w:t>
      </w:r>
    </w:p>
    <w:p w14:paraId="20F23ED7" w14:textId="389DEE4D" w:rsidR="003D314C" w:rsidRDefault="003D314C" w:rsidP="004F377D">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sidRPr="00423F76">
        <w:rPr>
          <w:rFonts w:ascii="Times New Roman" w:eastAsia="Times New Roman" w:hAnsi="Times New Roman" w:cs="Times New Roman"/>
          <w:i/>
          <w:sz w:val="24"/>
          <w:szCs w:val="24"/>
        </w:rPr>
        <w:t xml:space="preserve"> Ikuno v. Yip</w:t>
      </w:r>
      <w:r w:rsidRPr="00423F76">
        <w:rPr>
          <w:rFonts w:ascii="Times New Roman" w:eastAsia="Times New Roman" w:hAnsi="Times New Roman" w:cs="Times New Roman"/>
          <w:sz w:val="24"/>
          <w:szCs w:val="24"/>
        </w:rPr>
        <w:t>, 912 F.2d 306, 312 (9th Cir. 1990) (holding that “both the practice of law and medicine may give rise to CPA [Consumer Protection Act] claims”);</w:t>
      </w:r>
      <w:r w:rsidRPr="00423F76">
        <w:rPr>
          <w:rFonts w:ascii="Times New Roman" w:eastAsia="Times New Roman" w:hAnsi="Times New Roman" w:cs="Times New Roman"/>
          <w:i/>
          <w:sz w:val="24"/>
          <w:szCs w:val="24"/>
        </w:rPr>
        <w:t xml:space="preserve">  </w:t>
      </w:r>
      <w:proofErr w:type="spellStart"/>
      <w:r w:rsidRPr="00423F76">
        <w:rPr>
          <w:rFonts w:ascii="Times New Roman" w:eastAsia="Times New Roman" w:hAnsi="Times New Roman" w:cs="Times New Roman"/>
          <w:i/>
          <w:sz w:val="24"/>
          <w:szCs w:val="24"/>
        </w:rPr>
        <w:t>Chalfin</w:t>
      </w:r>
      <w:proofErr w:type="spellEnd"/>
      <w:r w:rsidRPr="00423F76">
        <w:rPr>
          <w:rFonts w:ascii="Times New Roman" w:eastAsia="Times New Roman" w:hAnsi="Times New Roman" w:cs="Times New Roman"/>
          <w:i/>
          <w:sz w:val="24"/>
          <w:szCs w:val="24"/>
        </w:rPr>
        <w:t xml:space="preserve"> v. Beverly Enter.</w:t>
      </w:r>
      <w:r w:rsidRPr="00423F76">
        <w:rPr>
          <w:rFonts w:ascii="Times New Roman" w:eastAsia="Times New Roman" w:hAnsi="Times New Roman" w:cs="Times New Roman"/>
          <w:sz w:val="24"/>
          <w:szCs w:val="24"/>
        </w:rPr>
        <w:t xml:space="preserve">, 741 F. Supp. 1162, </w:t>
      </w:r>
      <w:r w:rsidRPr="00423F76">
        <w:rPr>
          <w:rFonts w:ascii="Times New Roman" w:eastAsia="Times New Roman" w:hAnsi="Times New Roman" w:cs="Times New Roman"/>
          <w:i/>
          <w:sz w:val="24"/>
          <w:szCs w:val="24"/>
        </w:rPr>
        <w:t>reconsideration denied</w:t>
      </w:r>
      <w:r w:rsidRPr="00423F76">
        <w:rPr>
          <w:rFonts w:ascii="Times New Roman" w:eastAsia="Times New Roman" w:hAnsi="Times New Roman" w:cs="Times New Roman"/>
          <w:sz w:val="24"/>
          <w:szCs w:val="24"/>
        </w:rPr>
        <w:t>, 745 F. Supp. 1117 (E.D. Pa. 1989) (holding that health care services provided by a nursing home were within the scope of the Pennsylvania unfair trade practices and consumer protection laws)</w:t>
      </w:r>
      <w:r w:rsidR="00450135">
        <w:rPr>
          <w:rFonts w:ascii="Times New Roman" w:eastAsia="Times New Roman" w:hAnsi="Times New Roman" w:cs="Times New Roman"/>
          <w:sz w:val="24"/>
          <w:szCs w:val="24"/>
        </w:rPr>
        <w:t xml:space="preserve">; </w:t>
      </w:r>
      <w:r w:rsidR="00450135" w:rsidRPr="004F377D">
        <w:rPr>
          <w:rFonts w:ascii="Times New Roman" w:eastAsia="Times New Roman" w:hAnsi="Times New Roman" w:cs="Times New Roman"/>
          <w:i/>
          <w:iCs/>
          <w:sz w:val="24"/>
          <w:szCs w:val="24"/>
        </w:rPr>
        <w:t>Quimby v. Fine</w:t>
      </w:r>
      <w:r w:rsidR="00450135">
        <w:rPr>
          <w:rFonts w:ascii="Times New Roman" w:eastAsia="Times New Roman" w:hAnsi="Times New Roman" w:cs="Times New Roman"/>
          <w:sz w:val="24"/>
          <w:szCs w:val="24"/>
        </w:rPr>
        <w:t>, 724 P.2d 403 (Wash. Ct. App. 1986)(Physician’s failure to disclose accurate information to the patient supported an unfair and deceptive trade practice claim).</w:t>
      </w:r>
    </w:p>
    <w:p w14:paraId="1DCBC549" w14:textId="77777777" w:rsidR="003171A7" w:rsidRPr="00423F76" w:rsidRDefault="003171A7" w:rsidP="004F377D">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p>
    <w:p w14:paraId="0BDFD253" w14:textId="22DE5DED" w:rsidR="00F2239A" w:rsidRPr="00F2239A" w:rsidRDefault="00F2239A" w:rsidP="00F2239A">
      <w:pPr>
        <w:pStyle w:val="ListParagraph"/>
        <w:numPr>
          <w:ilvl w:val="0"/>
          <w:numId w:val="27"/>
        </w:numPr>
        <w:spacing w:after="0" w:line="480" w:lineRule="auto"/>
        <w:rPr>
          <w:rFonts w:ascii="Times New Roman" w:eastAsia="Times New Roman" w:hAnsi="Times New Roman" w:cs="Times New Roman"/>
          <w:b/>
          <w:bCs/>
          <w:sz w:val="24"/>
          <w:szCs w:val="24"/>
          <w:u w:val="single"/>
        </w:rPr>
      </w:pPr>
      <w:r w:rsidRPr="00F2239A">
        <w:rPr>
          <w:rFonts w:ascii="Times New Roman" w:eastAsia="Times New Roman" w:hAnsi="Times New Roman" w:cs="Times New Roman"/>
          <w:b/>
          <w:bCs/>
          <w:sz w:val="24"/>
          <w:szCs w:val="24"/>
          <w:u w:val="single"/>
        </w:rPr>
        <w:lastRenderedPageBreak/>
        <w:t>Conclusion</w:t>
      </w:r>
    </w:p>
    <w:p w14:paraId="47C6012C" w14:textId="6079B173" w:rsidR="00F2239A" w:rsidRDefault="00A769FD" w:rsidP="000C3C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case precedents cited above clearly support a VCPA claim under these facts</w:t>
      </w:r>
      <w:r w:rsidR="00E637F4">
        <w:rPr>
          <w:rFonts w:ascii="Times New Roman" w:eastAsia="Times New Roman" w:hAnsi="Times New Roman" w:cs="Times New Roman"/>
          <w:sz w:val="24"/>
          <w:szCs w:val="24"/>
        </w:rPr>
        <w:t xml:space="preserve"> and Defendants have cited no case law </w:t>
      </w:r>
      <w:r w:rsidR="00B22A01">
        <w:rPr>
          <w:rFonts w:ascii="Times New Roman" w:eastAsia="Times New Roman" w:hAnsi="Times New Roman" w:cs="Times New Roman"/>
          <w:sz w:val="24"/>
          <w:szCs w:val="24"/>
        </w:rPr>
        <w:t xml:space="preserve">requiring </w:t>
      </w:r>
      <w:r w:rsidR="00E637F4">
        <w:rPr>
          <w:rFonts w:ascii="Times New Roman" w:eastAsia="Times New Roman" w:hAnsi="Times New Roman" w:cs="Times New Roman"/>
          <w:sz w:val="24"/>
          <w:szCs w:val="24"/>
        </w:rPr>
        <w:t xml:space="preserve">a different result.  </w:t>
      </w:r>
      <w:r w:rsidR="00F2239A">
        <w:rPr>
          <w:rFonts w:ascii="Times New Roman" w:eastAsia="Times New Roman" w:hAnsi="Times New Roman" w:cs="Times New Roman"/>
          <w:sz w:val="24"/>
          <w:szCs w:val="24"/>
        </w:rPr>
        <w:t xml:space="preserve">Plaintiff has alleged all the elements of a VCPA claim, including a </w:t>
      </w:r>
      <w:r w:rsidR="00A433AB">
        <w:rPr>
          <w:rFonts w:ascii="Times New Roman" w:eastAsia="Times New Roman" w:hAnsi="Times New Roman" w:cs="Times New Roman"/>
          <w:sz w:val="24"/>
          <w:szCs w:val="24"/>
        </w:rPr>
        <w:t>consumer transaction (Complaint</w:t>
      </w:r>
      <w:r w:rsidR="00F3552F">
        <w:rPr>
          <w:rFonts w:ascii="Times New Roman" w:eastAsia="Times New Roman" w:hAnsi="Times New Roman" w:cs="Times New Roman"/>
          <w:sz w:val="24"/>
          <w:szCs w:val="24"/>
        </w:rPr>
        <w:t>,</w:t>
      </w:r>
      <w:r w:rsidR="00A433AB">
        <w:rPr>
          <w:rFonts w:ascii="Times New Roman" w:eastAsia="Times New Roman" w:hAnsi="Times New Roman" w:cs="Times New Roman"/>
          <w:sz w:val="24"/>
          <w:szCs w:val="24"/>
        </w:rPr>
        <w:t xml:space="preserve"> ¶ 35), a </w:t>
      </w:r>
      <w:r w:rsidR="00F2239A">
        <w:rPr>
          <w:rFonts w:ascii="Times New Roman" w:eastAsia="Times New Roman" w:hAnsi="Times New Roman" w:cs="Times New Roman"/>
          <w:sz w:val="24"/>
          <w:szCs w:val="24"/>
        </w:rPr>
        <w:t>false representation of a material fact</w:t>
      </w:r>
      <w:r w:rsidR="00A433AB">
        <w:rPr>
          <w:rFonts w:ascii="Times New Roman" w:eastAsia="Times New Roman" w:hAnsi="Times New Roman" w:cs="Times New Roman"/>
          <w:sz w:val="24"/>
          <w:szCs w:val="24"/>
        </w:rPr>
        <w:t xml:space="preserve"> (</w:t>
      </w:r>
      <w:r w:rsidR="00A433AB" w:rsidRPr="00F3552F">
        <w:rPr>
          <w:rFonts w:ascii="Times New Roman" w:eastAsia="Times New Roman" w:hAnsi="Times New Roman" w:cs="Times New Roman"/>
          <w:i/>
          <w:iCs/>
          <w:sz w:val="24"/>
          <w:szCs w:val="24"/>
        </w:rPr>
        <w:t>Id</w:t>
      </w:r>
      <w:r w:rsidR="00A433AB">
        <w:rPr>
          <w:rFonts w:ascii="Times New Roman" w:eastAsia="Times New Roman" w:hAnsi="Times New Roman" w:cs="Times New Roman"/>
          <w:sz w:val="24"/>
          <w:szCs w:val="24"/>
        </w:rPr>
        <w:t>. ¶</w:t>
      </w:r>
      <w:proofErr w:type="gramStart"/>
      <w:r w:rsidR="00F3552F">
        <w:rPr>
          <w:rFonts w:ascii="Times New Roman" w:eastAsia="Times New Roman" w:hAnsi="Times New Roman" w:cs="Times New Roman"/>
          <w:sz w:val="24"/>
          <w:szCs w:val="24"/>
        </w:rPr>
        <w:t xml:space="preserve">¶ </w:t>
      </w:r>
      <w:r w:rsidR="00A433AB">
        <w:rPr>
          <w:rFonts w:ascii="Times New Roman" w:eastAsia="Times New Roman" w:hAnsi="Times New Roman" w:cs="Times New Roman"/>
          <w:sz w:val="24"/>
          <w:szCs w:val="24"/>
        </w:rPr>
        <w:t xml:space="preserve"> 43</w:t>
      </w:r>
      <w:proofErr w:type="gramEnd"/>
      <w:r w:rsidR="00F3552F">
        <w:rPr>
          <w:rFonts w:ascii="Times New Roman" w:eastAsia="Times New Roman" w:hAnsi="Times New Roman" w:cs="Times New Roman"/>
          <w:sz w:val="24"/>
          <w:szCs w:val="24"/>
        </w:rPr>
        <w:t xml:space="preserve"> &amp; 44)</w:t>
      </w:r>
      <w:r w:rsidR="00F2239A">
        <w:rPr>
          <w:rFonts w:ascii="Times New Roman" w:eastAsia="Times New Roman" w:hAnsi="Times New Roman" w:cs="Times New Roman"/>
          <w:sz w:val="24"/>
          <w:szCs w:val="24"/>
        </w:rPr>
        <w:t>, made intentionally and knowing, with intent to mislead</w:t>
      </w:r>
      <w:r w:rsidR="00F3552F">
        <w:rPr>
          <w:rFonts w:ascii="Times New Roman" w:eastAsia="Times New Roman" w:hAnsi="Times New Roman" w:cs="Times New Roman"/>
          <w:sz w:val="24"/>
          <w:szCs w:val="24"/>
        </w:rPr>
        <w:t xml:space="preserve"> (</w:t>
      </w:r>
      <w:r w:rsidR="00F3552F" w:rsidRPr="00F3552F">
        <w:rPr>
          <w:rFonts w:ascii="Times New Roman" w:eastAsia="Times New Roman" w:hAnsi="Times New Roman" w:cs="Times New Roman"/>
          <w:i/>
          <w:iCs/>
          <w:sz w:val="24"/>
          <w:szCs w:val="24"/>
        </w:rPr>
        <w:t>Id</w:t>
      </w:r>
      <w:r w:rsidR="00F3552F">
        <w:rPr>
          <w:rFonts w:ascii="Times New Roman" w:eastAsia="Times New Roman" w:hAnsi="Times New Roman" w:cs="Times New Roman"/>
          <w:sz w:val="24"/>
          <w:szCs w:val="24"/>
        </w:rPr>
        <w:t>.)</w:t>
      </w:r>
      <w:r w:rsidR="00F2239A">
        <w:rPr>
          <w:rFonts w:ascii="Times New Roman" w:eastAsia="Times New Roman" w:hAnsi="Times New Roman" w:cs="Times New Roman"/>
          <w:sz w:val="24"/>
          <w:szCs w:val="24"/>
        </w:rPr>
        <w:t xml:space="preserve"> reliance by the party misled</w:t>
      </w:r>
      <w:r w:rsidR="00F3552F">
        <w:rPr>
          <w:rFonts w:ascii="Times New Roman" w:eastAsia="Times New Roman" w:hAnsi="Times New Roman" w:cs="Times New Roman"/>
          <w:sz w:val="24"/>
          <w:szCs w:val="24"/>
        </w:rPr>
        <w:t xml:space="preserve"> (</w:t>
      </w:r>
      <w:r w:rsidR="00F3552F" w:rsidRPr="00F3552F">
        <w:rPr>
          <w:rFonts w:ascii="Times New Roman" w:eastAsia="Times New Roman" w:hAnsi="Times New Roman" w:cs="Times New Roman"/>
          <w:i/>
          <w:iCs/>
          <w:sz w:val="24"/>
          <w:szCs w:val="24"/>
        </w:rPr>
        <w:t>Id</w:t>
      </w:r>
      <w:r w:rsidR="00F3552F">
        <w:rPr>
          <w:rFonts w:ascii="Times New Roman" w:eastAsia="Times New Roman" w:hAnsi="Times New Roman" w:cs="Times New Roman"/>
          <w:sz w:val="24"/>
          <w:szCs w:val="24"/>
        </w:rPr>
        <w:t>., ¶ 44)</w:t>
      </w:r>
      <w:r w:rsidR="00F2239A">
        <w:rPr>
          <w:rFonts w:ascii="Times New Roman" w:eastAsia="Times New Roman" w:hAnsi="Times New Roman" w:cs="Times New Roman"/>
          <w:sz w:val="24"/>
          <w:szCs w:val="24"/>
        </w:rPr>
        <w:t xml:space="preserve"> and resulting damages</w:t>
      </w:r>
      <w:r w:rsidR="00F3552F">
        <w:rPr>
          <w:rFonts w:ascii="Times New Roman" w:eastAsia="Times New Roman" w:hAnsi="Times New Roman" w:cs="Times New Roman"/>
          <w:sz w:val="24"/>
          <w:szCs w:val="24"/>
        </w:rPr>
        <w:t xml:space="preserve"> (</w:t>
      </w:r>
      <w:r w:rsidR="00F3552F" w:rsidRPr="00F3552F">
        <w:rPr>
          <w:rFonts w:ascii="Times New Roman" w:eastAsia="Times New Roman" w:hAnsi="Times New Roman" w:cs="Times New Roman"/>
          <w:i/>
          <w:iCs/>
          <w:sz w:val="24"/>
          <w:szCs w:val="24"/>
        </w:rPr>
        <w:t>Id</w:t>
      </w:r>
      <w:r w:rsidR="00F3552F">
        <w:rPr>
          <w:rFonts w:ascii="Times New Roman" w:eastAsia="Times New Roman" w:hAnsi="Times New Roman" w:cs="Times New Roman"/>
          <w:sz w:val="24"/>
          <w:szCs w:val="24"/>
        </w:rPr>
        <w:t>.</w:t>
      </w:r>
      <w:r w:rsidR="00F3552F" w:rsidRPr="00F3552F">
        <w:rPr>
          <w:rFonts w:ascii="Times New Roman" w:eastAsia="Times New Roman" w:hAnsi="Times New Roman" w:cs="Times New Roman"/>
          <w:sz w:val="24"/>
          <w:szCs w:val="24"/>
        </w:rPr>
        <w:t xml:space="preserve"> </w:t>
      </w:r>
      <w:r w:rsidR="00F3552F">
        <w:rPr>
          <w:rFonts w:ascii="Times New Roman" w:eastAsia="Times New Roman" w:hAnsi="Times New Roman" w:cs="Times New Roman"/>
          <w:sz w:val="24"/>
          <w:szCs w:val="24"/>
        </w:rPr>
        <w:t xml:space="preserve">¶ 45). See, </w:t>
      </w:r>
      <w:r w:rsidR="00A433AB" w:rsidRPr="00A433AB">
        <w:rPr>
          <w:rFonts w:ascii="Times New Roman" w:eastAsia="Times New Roman" w:hAnsi="Times New Roman" w:cs="Times New Roman"/>
          <w:i/>
          <w:iCs/>
          <w:sz w:val="24"/>
          <w:szCs w:val="24"/>
        </w:rPr>
        <w:t xml:space="preserve">Richmond Metro Auth. V. McDevitt St. </w:t>
      </w:r>
      <w:proofErr w:type="spellStart"/>
      <w:r w:rsidR="00A433AB" w:rsidRPr="00A433AB">
        <w:rPr>
          <w:rFonts w:ascii="Times New Roman" w:eastAsia="Times New Roman" w:hAnsi="Times New Roman" w:cs="Times New Roman"/>
          <w:i/>
          <w:iCs/>
          <w:sz w:val="24"/>
          <w:szCs w:val="24"/>
        </w:rPr>
        <w:t>Bovis</w:t>
      </w:r>
      <w:proofErr w:type="spellEnd"/>
      <w:r w:rsidR="00A433AB" w:rsidRPr="00A433AB">
        <w:rPr>
          <w:rFonts w:ascii="Times New Roman" w:eastAsia="Times New Roman" w:hAnsi="Times New Roman" w:cs="Times New Roman"/>
          <w:i/>
          <w:iCs/>
          <w:sz w:val="24"/>
          <w:szCs w:val="24"/>
        </w:rPr>
        <w:t>, Inc</w:t>
      </w:r>
      <w:r w:rsidR="00A433AB">
        <w:rPr>
          <w:rFonts w:ascii="Times New Roman" w:eastAsia="Times New Roman" w:hAnsi="Times New Roman" w:cs="Times New Roman"/>
          <w:sz w:val="24"/>
          <w:szCs w:val="24"/>
        </w:rPr>
        <w:t xml:space="preserve">., 256 Va. 553, 557-558, 507 S.E.2d 344 (1988). </w:t>
      </w:r>
    </w:p>
    <w:p w14:paraId="4782B0AD" w14:textId="743B0617" w:rsidR="00205B7F" w:rsidRDefault="00F3552F" w:rsidP="00A769F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Complaint is considered </w:t>
      </w:r>
      <w:r w:rsidR="00205B7F">
        <w:rPr>
          <w:rFonts w:ascii="Times New Roman" w:eastAsia="Times New Roman" w:hAnsi="Times New Roman" w:cs="Times New Roman"/>
          <w:sz w:val="24"/>
          <w:szCs w:val="24"/>
        </w:rPr>
        <w:t xml:space="preserve">in the context of </w:t>
      </w:r>
      <w:r>
        <w:rPr>
          <w:rFonts w:ascii="Times New Roman" w:eastAsia="Times New Roman" w:hAnsi="Times New Roman" w:cs="Times New Roman"/>
          <w:sz w:val="24"/>
          <w:szCs w:val="24"/>
        </w:rPr>
        <w:t xml:space="preserve">all attachments and Plaintiff is given the benefit of all inferences, </w:t>
      </w:r>
      <w:r w:rsidR="00205B7F">
        <w:rPr>
          <w:rFonts w:ascii="Times New Roman" w:eastAsia="Times New Roman" w:hAnsi="Times New Roman" w:cs="Times New Roman"/>
          <w:sz w:val="24"/>
          <w:szCs w:val="24"/>
        </w:rPr>
        <w:t xml:space="preserve">she has </w:t>
      </w:r>
      <w:r w:rsidR="00A769FD">
        <w:rPr>
          <w:rFonts w:ascii="Times New Roman" w:eastAsia="Times New Roman" w:hAnsi="Times New Roman" w:cs="Times New Roman"/>
          <w:sz w:val="24"/>
          <w:szCs w:val="24"/>
        </w:rPr>
        <w:t xml:space="preserve">set forth sufficient facts to meet Virginia’s pleading requirements.  </w:t>
      </w:r>
      <w:r w:rsidR="00205B7F">
        <w:rPr>
          <w:rFonts w:ascii="Times New Roman" w:eastAsia="Times New Roman" w:hAnsi="Times New Roman" w:cs="Times New Roman"/>
          <w:sz w:val="24"/>
          <w:szCs w:val="24"/>
        </w:rPr>
        <w:t xml:space="preserve">  </w:t>
      </w:r>
      <w:r w:rsidR="000C3C38">
        <w:rPr>
          <w:rFonts w:ascii="Times New Roman" w:eastAsia="Times New Roman" w:hAnsi="Times New Roman" w:cs="Times New Roman"/>
          <w:sz w:val="24"/>
          <w:szCs w:val="24"/>
        </w:rPr>
        <w:t>G</w:t>
      </w:r>
      <w:r w:rsidR="00205B7F">
        <w:rPr>
          <w:rFonts w:ascii="Times New Roman" w:eastAsia="Times New Roman" w:hAnsi="Times New Roman" w:cs="Times New Roman"/>
          <w:sz w:val="24"/>
          <w:szCs w:val="24"/>
        </w:rPr>
        <w:t xml:space="preserve">ranting a demurrer under these circumstances would interject error in this case and effectively elevate pleading standards for VCPA claims to an impossible </w:t>
      </w:r>
      <w:r w:rsidR="0078711D">
        <w:rPr>
          <w:rFonts w:ascii="Times New Roman" w:eastAsia="Times New Roman" w:hAnsi="Times New Roman" w:cs="Times New Roman"/>
          <w:sz w:val="24"/>
          <w:szCs w:val="24"/>
        </w:rPr>
        <w:t>threshold</w:t>
      </w:r>
      <w:r w:rsidR="000C3C38">
        <w:rPr>
          <w:rFonts w:ascii="Times New Roman" w:eastAsia="Times New Roman" w:hAnsi="Times New Roman" w:cs="Times New Roman"/>
          <w:sz w:val="24"/>
          <w:szCs w:val="24"/>
        </w:rPr>
        <w:t xml:space="preserve">.  Such a ruling </w:t>
      </w:r>
      <w:r w:rsidR="0078711D">
        <w:rPr>
          <w:rFonts w:ascii="Times New Roman" w:eastAsia="Times New Roman" w:hAnsi="Times New Roman" w:cs="Times New Roman"/>
          <w:sz w:val="24"/>
          <w:szCs w:val="24"/>
        </w:rPr>
        <w:t xml:space="preserve">runs contrary to Virginia’s notice pleading standards and the remedial nature of the </w:t>
      </w:r>
      <w:r w:rsidR="000C3C38">
        <w:rPr>
          <w:rFonts w:ascii="Times New Roman" w:eastAsia="Times New Roman" w:hAnsi="Times New Roman" w:cs="Times New Roman"/>
          <w:sz w:val="24"/>
          <w:szCs w:val="24"/>
        </w:rPr>
        <w:t xml:space="preserve">VCPA </w:t>
      </w:r>
      <w:r w:rsidR="0078711D">
        <w:rPr>
          <w:rFonts w:ascii="Times New Roman" w:eastAsia="Times New Roman" w:hAnsi="Times New Roman" w:cs="Times New Roman"/>
          <w:sz w:val="24"/>
          <w:szCs w:val="24"/>
        </w:rPr>
        <w:t xml:space="preserve">statute. </w:t>
      </w:r>
    </w:p>
    <w:p w14:paraId="067D1DA2" w14:textId="20CD5492" w:rsidR="00423F76" w:rsidRPr="00423F76" w:rsidRDefault="00F2239A" w:rsidP="00AC6419">
      <w:pPr>
        <w:widowControl w:val="0"/>
        <w:suppressAutoHyphen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2" w:name="_Hlk22201835"/>
    </w:p>
    <w:p w14:paraId="08E683DB" w14:textId="31675B8F" w:rsidR="00423F76" w:rsidRPr="00423F76" w:rsidRDefault="00423F76" w:rsidP="00423F76">
      <w:pPr>
        <w:tabs>
          <w:tab w:val="left" w:pos="-2160"/>
          <w:tab w:val="left" w:pos="-1440"/>
          <w:tab w:val="left" w:pos="-720"/>
        </w:tabs>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 xml:space="preserve">Dated: </w:t>
      </w:r>
      <w:r w:rsidR="00E637F4">
        <w:rPr>
          <w:rFonts w:ascii="Times New Roman" w:eastAsia="Calibri" w:hAnsi="Times New Roman" w:cs="Times New Roman"/>
          <w:sz w:val="24"/>
          <w:szCs w:val="24"/>
        </w:rPr>
        <w:t>June 9</w:t>
      </w:r>
      <w:r w:rsidRPr="00423F76">
        <w:rPr>
          <w:rFonts w:ascii="Times New Roman" w:eastAsia="Calibri" w:hAnsi="Times New Roman" w:cs="Times New Roman"/>
          <w:sz w:val="24"/>
          <w:szCs w:val="24"/>
        </w:rPr>
        <w:t xml:space="preserve">, </w:t>
      </w:r>
      <w:proofErr w:type="gramStart"/>
      <w:r w:rsidRPr="00423F76">
        <w:rPr>
          <w:rFonts w:ascii="Times New Roman" w:eastAsia="Calibri" w:hAnsi="Times New Roman" w:cs="Times New Roman"/>
          <w:sz w:val="24"/>
          <w:szCs w:val="24"/>
        </w:rPr>
        <w:t>20</w:t>
      </w:r>
      <w:r w:rsidR="00E637F4">
        <w:rPr>
          <w:rFonts w:ascii="Times New Roman" w:eastAsia="Calibri" w:hAnsi="Times New Roman" w:cs="Times New Roman"/>
          <w:sz w:val="24"/>
          <w:szCs w:val="24"/>
        </w:rPr>
        <w:t>22</w:t>
      </w:r>
      <w:proofErr w:type="gramEnd"/>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00E637F4">
        <w:rPr>
          <w:rFonts w:ascii="Times New Roman" w:eastAsia="Calibri" w:hAnsi="Times New Roman" w:cs="Times New Roman"/>
          <w:sz w:val="24"/>
          <w:szCs w:val="24"/>
        </w:rPr>
        <w:tab/>
      </w:r>
      <w:r w:rsidRPr="00423F76">
        <w:rPr>
          <w:rFonts w:ascii="Times New Roman" w:eastAsia="Calibri" w:hAnsi="Times New Roman" w:cs="Times New Roman"/>
          <w:sz w:val="24"/>
          <w:szCs w:val="24"/>
        </w:rPr>
        <w:t>Respectfully submitted,</w:t>
      </w:r>
    </w:p>
    <w:p w14:paraId="255F9310" w14:textId="0032324B" w:rsidR="00423F76" w:rsidRDefault="00423F76" w:rsidP="0020262B">
      <w:pPr>
        <w:tabs>
          <w:tab w:val="left" w:pos="-2160"/>
          <w:tab w:val="left" w:pos="-1440"/>
          <w:tab w:val="left" w:pos="-720"/>
        </w:tabs>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0020262B">
        <w:rPr>
          <w:rFonts w:ascii="Times New Roman" w:eastAsia="Calibri" w:hAnsi="Times New Roman" w:cs="Times New Roman"/>
          <w:sz w:val="24"/>
          <w:szCs w:val="24"/>
        </w:rPr>
        <w:t>Plaintiff, b</w:t>
      </w:r>
      <w:r w:rsidRPr="00423F76">
        <w:rPr>
          <w:rFonts w:ascii="Times New Roman" w:eastAsia="Calibri" w:hAnsi="Times New Roman" w:cs="Times New Roman"/>
          <w:sz w:val="24"/>
          <w:szCs w:val="24"/>
        </w:rPr>
        <w:t xml:space="preserve">y Counsel </w:t>
      </w:r>
    </w:p>
    <w:p w14:paraId="20C02524" w14:textId="065D8AE8" w:rsidR="00AC6419" w:rsidRDefault="00AC6419" w:rsidP="0020262B">
      <w:pPr>
        <w:tabs>
          <w:tab w:val="left" w:pos="-2160"/>
          <w:tab w:val="left" w:pos="-1440"/>
          <w:tab w:val="left" w:pos="-720"/>
        </w:tabs>
        <w:suppressAutoHyphens/>
        <w:spacing w:after="0" w:line="240" w:lineRule="auto"/>
        <w:rPr>
          <w:rFonts w:ascii="Times New Roman" w:eastAsia="Calibri" w:hAnsi="Times New Roman" w:cs="Times New Roman"/>
          <w:sz w:val="24"/>
          <w:szCs w:val="24"/>
        </w:rPr>
      </w:pPr>
    </w:p>
    <w:p w14:paraId="4DA6AA51" w14:textId="77777777" w:rsidR="00AC6419" w:rsidRPr="00423F76" w:rsidRDefault="00AC6419" w:rsidP="0020262B">
      <w:pPr>
        <w:tabs>
          <w:tab w:val="left" w:pos="-2160"/>
          <w:tab w:val="left" w:pos="-1440"/>
          <w:tab w:val="left" w:pos="-720"/>
        </w:tabs>
        <w:suppressAutoHyphens/>
        <w:spacing w:after="0" w:line="240" w:lineRule="auto"/>
        <w:rPr>
          <w:rFonts w:ascii="Times New Roman" w:eastAsia="Calibri" w:hAnsi="Times New Roman" w:cs="Times New Roman"/>
          <w:sz w:val="24"/>
          <w:szCs w:val="24"/>
        </w:rPr>
      </w:pPr>
    </w:p>
    <w:p w14:paraId="5E999DA9" w14:textId="77777777" w:rsidR="00423F76" w:rsidRPr="00423F76" w:rsidRDefault="00423F76" w:rsidP="00423F76">
      <w:pPr>
        <w:tabs>
          <w:tab w:val="left" w:pos="-1440"/>
          <w:tab w:val="left" w:pos="-720"/>
        </w:tabs>
        <w:suppressAutoHyphens/>
        <w:spacing w:after="0" w:line="276"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t xml:space="preserve"> ________________________________</w:t>
      </w:r>
    </w:p>
    <w:p w14:paraId="464235DC" w14:textId="77777777" w:rsidR="00423F76" w:rsidRPr="00423F76" w:rsidRDefault="00423F76" w:rsidP="00423F76">
      <w:pPr>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t>Jeffrey J. Downey, (Va. bar #31992)</w:t>
      </w:r>
    </w:p>
    <w:p w14:paraId="75190E1D" w14:textId="77777777" w:rsidR="00423F76" w:rsidRPr="00423F76" w:rsidRDefault="00423F76" w:rsidP="00423F76">
      <w:pPr>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t>The Law Office of Jeffrey J. Downey</w:t>
      </w:r>
    </w:p>
    <w:p w14:paraId="5D3F5C87" w14:textId="77777777" w:rsidR="00423F76" w:rsidRPr="00423F76" w:rsidRDefault="00423F76" w:rsidP="00423F76">
      <w:pPr>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t>8270 Greensboro Drive, Suite 810</w:t>
      </w:r>
    </w:p>
    <w:p w14:paraId="62CD99C2" w14:textId="77777777" w:rsidR="00423F76" w:rsidRPr="00423F76" w:rsidRDefault="00423F76" w:rsidP="00423F76">
      <w:pPr>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t>Mclean, VA 22102</w:t>
      </w:r>
    </w:p>
    <w:p w14:paraId="049084D7" w14:textId="77777777" w:rsidR="00423F76" w:rsidRPr="00423F76" w:rsidRDefault="00423F76" w:rsidP="00423F76">
      <w:pPr>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t>Phone:  703-564-7318</w:t>
      </w:r>
    </w:p>
    <w:p w14:paraId="3744EC05" w14:textId="77777777" w:rsidR="00423F76" w:rsidRPr="00423F76" w:rsidRDefault="00423F76" w:rsidP="00423F76">
      <w:pPr>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t>jdowney@jeffdowney.com</w:t>
      </w:r>
    </w:p>
    <w:p w14:paraId="6A1F5355" w14:textId="77777777" w:rsidR="00423F76" w:rsidRPr="00423F76" w:rsidRDefault="00423F76" w:rsidP="00423F76">
      <w:pPr>
        <w:suppressAutoHyphens/>
        <w:spacing w:after="0" w:line="240" w:lineRule="auto"/>
        <w:rPr>
          <w:rFonts w:ascii="Times New Roman" w:eastAsia="Calibri" w:hAnsi="Times New Roman" w:cs="Times New Roman"/>
          <w:i/>
          <w:sz w:val="24"/>
          <w:szCs w:val="24"/>
        </w:rPr>
      </w:pPr>
      <w:r w:rsidRPr="00423F76">
        <w:rPr>
          <w:rFonts w:ascii="Times New Roman" w:eastAsia="Calibri" w:hAnsi="Times New Roman" w:cs="Times New Roman"/>
          <w:i/>
          <w:sz w:val="24"/>
          <w:szCs w:val="24"/>
        </w:rPr>
        <w:tab/>
      </w:r>
      <w:r w:rsidRPr="00423F76">
        <w:rPr>
          <w:rFonts w:ascii="Times New Roman" w:eastAsia="Calibri" w:hAnsi="Times New Roman" w:cs="Times New Roman"/>
          <w:i/>
          <w:sz w:val="24"/>
          <w:szCs w:val="24"/>
        </w:rPr>
        <w:tab/>
      </w:r>
      <w:r w:rsidRPr="00423F76">
        <w:rPr>
          <w:rFonts w:ascii="Times New Roman" w:eastAsia="Calibri" w:hAnsi="Times New Roman" w:cs="Times New Roman"/>
          <w:i/>
          <w:sz w:val="24"/>
          <w:szCs w:val="24"/>
        </w:rPr>
        <w:tab/>
      </w:r>
      <w:r w:rsidRPr="00423F76">
        <w:rPr>
          <w:rFonts w:ascii="Times New Roman" w:eastAsia="Calibri" w:hAnsi="Times New Roman" w:cs="Times New Roman"/>
          <w:i/>
          <w:sz w:val="24"/>
          <w:szCs w:val="24"/>
        </w:rPr>
        <w:tab/>
      </w:r>
      <w:r w:rsidRPr="00423F76">
        <w:rPr>
          <w:rFonts w:ascii="Times New Roman" w:eastAsia="Calibri" w:hAnsi="Times New Roman" w:cs="Times New Roman"/>
          <w:i/>
          <w:sz w:val="24"/>
          <w:szCs w:val="24"/>
        </w:rPr>
        <w:tab/>
      </w:r>
      <w:r w:rsidRPr="00423F76">
        <w:rPr>
          <w:rFonts w:ascii="Times New Roman" w:eastAsia="Calibri" w:hAnsi="Times New Roman" w:cs="Times New Roman"/>
          <w:i/>
          <w:sz w:val="24"/>
          <w:szCs w:val="24"/>
        </w:rPr>
        <w:tab/>
        <w:t>Counsel for Plaintiff</w:t>
      </w:r>
    </w:p>
    <w:p w14:paraId="4ECCC3B6" w14:textId="77777777" w:rsidR="00423F76" w:rsidRPr="00423F76" w:rsidRDefault="00423F76" w:rsidP="00423F76">
      <w:pPr>
        <w:suppressAutoHyphens/>
        <w:spacing w:after="0" w:line="240" w:lineRule="auto"/>
        <w:rPr>
          <w:rFonts w:ascii="Times New Roman" w:eastAsia="Calibri" w:hAnsi="Times New Roman" w:cs="Times New Roman"/>
          <w:sz w:val="24"/>
          <w:szCs w:val="24"/>
        </w:rPr>
      </w:pPr>
    </w:p>
    <w:p w14:paraId="207D032C" w14:textId="77777777" w:rsidR="00423F76" w:rsidRPr="00423F76" w:rsidRDefault="00423F76" w:rsidP="00423F76">
      <w:pPr>
        <w:suppressAutoHyphens/>
        <w:spacing w:after="0" w:line="240" w:lineRule="auto"/>
        <w:rPr>
          <w:rFonts w:ascii="Times New Roman" w:eastAsia="Calibri" w:hAnsi="Times New Roman" w:cs="Times New Roman"/>
          <w:sz w:val="24"/>
          <w:szCs w:val="24"/>
        </w:rPr>
      </w:pP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r w:rsidRPr="00423F76">
        <w:rPr>
          <w:rFonts w:ascii="Times New Roman" w:eastAsia="Calibri" w:hAnsi="Times New Roman" w:cs="Times New Roman"/>
          <w:sz w:val="24"/>
          <w:szCs w:val="24"/>
        </w:rPr>
        <w:tab/>
      </w:r>
    </w:p>
    <w:p w14:paraId="76EF7198" w14:textId="77777777" w:rsidR="00423F76" w:rsidRPr="00423F76" w:rsidRDefault="00423F76" w:rsidP="00423F76">
      <w:pPr>
        <w:tabs>
          <w:tab w:val="left" w:pos="-2160"/>
          <w:tab w:val="left" w:pos="-1440"/>
          <w:tab w:val="left" w:pos="-720"/>
        </w:tabs>
        <w:suppressAutoHyphens/>
        <w:spacing w:after="480" w:line="276" w:lineRule="auto"/>
        <w:jc w:val="center"/>
        <w:rPr>
          <w:rFonts w:ascii="Times New Roman" w:eastAsia="Calibri" w:hAnsi="Times New Roman" w:cs="Times New Roman"/>
          <w:sz w:val="24"/>
          <w:szCs w:val="24"/>
        </w:rPr>
      </w:pPr>
      <w:r w:rsidRPr="00423F76">
        <w:rPr>
          <w:rFonts w:ascii="Times New Roman" w:eastAsia="Calibri" w:hAnsi="Times New Roman" w:cs="Times New Roman"/>
          <w:b/>
          <w:bCs/>
          <w:sz w:val="24"/>
          <w:szCs w:val="24"/>
          <w:u w:val="single"/>
        </w:rPr>
        <w:t>CERTIFICATE OF MAILING</w:t>
      </w:r>
    </w:p>
    <w:p w14:paraId="5AE5C06A" w14:textId="1850BEAB" w:rsidR="00423F76" w:rsidRDefault="00423F76" w:rsidP="00423F76">
      <w:pPr>
        <w:suppressAutoHyphens/>
        <w:spacing w:after="0" w:line="360" w:lineRule="auto"/>
        <w:ind w:firstLine="720"/>
        <w:rPr>
          <w:rFonts w:ascii="Times New Roman" w:eastAsia="Calibri" w:hAnsi="Times New Roman" w:cs="Times New Roman"/>
          <w:sz w:val="24"/>
          <w:szCs w:val="24"/>
        </w:rPr>
      </w:pPr>
      <w:r w:rsidRPr="00423F76">
        <w:rPr>
          <w:rFonts w:ascii="Times New Roman" w:eastAsia="Calibri" w:hAnsi="Times New Roman" w:cs="Times New Roman"/>
          <w:sz w:val="24"/>
          <w:szCs w:val="24"/>
        </w:rPr>
        <w:lastRenderedPageBreak/>
        <w:t>I hereby certify that a true copy of the foregoing Plaintiff’s Opposition to Defendant’s Demurrers</w:t>
      </w:r>
      <w:r w:rsidR="00AC6419">
        <w:rPr>
          <w:rFonts w:ascii="Times New Roman" w:eastAsia="Calibri" w:hAnsi="Times New Roman" w:cs="Times New Roman"/>
          <w:sz w:val="24"/>
          <w:szCs w:val="24"/>
        </w:rPr>
        <w:t>,</w:t>
      </w:r>
      <w:r w:rsidRPr="00423F76">
        <w:rPr>
          <w:rFonts w:ascii="Times New Roman" w:eastAsia="Calibri" w:hAnsi="Times New Roman" w:cs="Times New Roman"/>
          <w:sz w:val="24"/>
          <w:szCs w:val="24"/>
        </w:rPr>
        <w:t xml:space="preserve"> was served upon Defendants, by sending a copy of this Memorandum, with attachments, </w:t>
      </w:r>
      <w:r w:rsidR="00AC6419">
        <w:rPr>
          <w:rFonts w:ascii="Times New Roman" w:eastAsia="Calibri" w:hAnsi="Times New Roman" w:cs="Times New Roman"/>
          <w:sz w:val="24"/>
          <w:szCs w:val="24"/>
        </w:rPr>
        <w:t xml:space="preserve">via e-mail, </w:t>
      </w:r>
      <w:proofErr w:type="gramStart"/>
      <w:r w:rsidR="00AC6419">
        <w:rPr>
          <w:rFonts w:ascii="Times New Roman" w:eastAsia="Calibri" w:hAnsi="Times New Roman" w:cs="Times New Roman"/>
          <w:sz w:val="24"/>
          <w:szCs w:val="24"/>
        </w:rPr>
        <w:t xml:space="preserve">this </w:t>
      </w:r>
      <w:r w:rsidRPr="00423F76">
        <w:rPr>
          <w:rFonts w:ascii="Times New Roman" w:eastAsia="Calibri" w:hAnsi="Times New Roman" w:cs="Times New Roman"/>
          <w:sz w:val="24"/>
          <w:szCs w:val="24"/>
        </w:rPr>
        <w:t xml:space="preserve"> </w:t>
      </w:r>
      <w:r w:rsidR="00AC6419">
        <w:rPr>
          <w:rFonts w:ascii="Times New Roman" w:eastAsia="Calibri" w:hAnsi="Times New Roman" w:cs="Times New Roman"/>
          <w:sz w:val="24"/>
          <w:szCs w:val="24"/>
        </w:rPr>
        <w:t>9</w:t>
      </w:r>
      <w:proofErr w:type="gramEnd"/>
      <w:r w:rsidR="00AC6419" w:rsidRPr="00AC6419">
        <w:rPr>
          <w:rFonts w:ascii="Times New Roman" w:eastAsia="Calibri" w:hAnsi="Times New Roman" w:cs="Times New Roman"/>
          <w:sz w:val="24"/>
          <w:szCs w:val="24"/>
          <w:vertAlign w:val="superscript"/>
        </w:rPr>
        <w:t>th</w:t>
      </w:r>
      <w:r w:rsidR="00AC6419">
        <w:rPr>
          <w:rFonts w:ascii="Times New Roman" w:eastAsia="Calibri" w:hAnsi="Times New Roman" w:cs="Times New Roman"/>
          <w:sz w:val="24"/>
          <w:szCs w:val="24"/>
        </w:rPr>
        <w:t xml:space="preserve"> </w:t>
      </w:r>
      <w:r w:rsidRPr="00423F76">
        <w:rPr>
          <w:rFonts w:ascii="Times New Roman" w:eastAsia="Calibri" w:hAnsi="Times New Roman" w:cs="Times New Roman"/>
          <w:sz w:val="24"/>
          <w:szCs w:val="24"/>
        </w:rPr>
        <w:t xml:space="preserve"> day of </w:t>
      </w:r>
      <w:r w:rsidR="00AC6419">
        <w:rPr>
          <w:rFonts w:ascii="Times New Roman" w:eastAsia="Calibri" w:hAnsi="Times New Roman" w:cs="Times New Roman"/>
          <w:sz w:val="24"/>
          <w:szCs w:val="24"/>
        </w:rPr>
        <w:t xml:space="preserve"> June 2022</w:t>
      </w:r>
      <w:r w:rsidRPr="00423F76">
        <w:rPr>
          <w:rFonts w:ascii="Times New Roman" w:eastAsia="Calibri" w:hAnsi="Times New Roman" w:cs="Times New Roman"/>
          <w:sz w:val="24"/>
          <w:szCs w:val="24"/>
        </w:rPr>
        <w:t>,  to the following:</w:t>
      </w:r>
    </w:p>
    <w:p w14:paraId="3CC54844" w14:textId="6EC5D5AD" w:rsidR="00B22A01" w:rsidRDefault="00B22A01" w:rsidP="00B22A01">
      <w:pPr>
        <w:suppressAutoHyphen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b/>
        <w:t xml:space="preserve">Ryan </w:t>
      </w:r>
      <w:proofErr w:type="spellStart"/>
      <w:r>
        <w:rPr>
          <w:rFonts w:ascii="Times New Roman" w:eastAsia="Calibri" w:hAnsi="Times New Roman" w:cs="Times New Roman"/>
          <w:sz w:val="24"/>
          <w:szCs w:val="24"/>
        </w:rPr>
        <w:t>Furguson</w:t>
      </w:r>
      <w:proofErr w:type="spellEnd"/>
    </w:p>
    <w:p w14:paraId="36A35026" w14:textId="5A131E02" w:rsidR="00B22A01" w:rsidRDefault="00B22A01" w:rsidP="00B22A01">
      <w:pPr>
        <w:suppressAutoHyphen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b/>
        <w:t xml:space="preserve">Kiernan </w:t>
      </w:r>
      <w:proofErr w:type="spellStart"/>
      <w:r>
        <w:rPr>
          <w:rFonts w:ascii="Times New Roman" w:eastAsia="Calibri" w:hAnsi="Times New Roman" w:cs="Times New Roman"/>
          <w:sz w:val="24"/>
          <w:szCs w:val="24"/>
        </w:rPr>
        <w:t>Trebach</w:t>
      </w:r>
      <w:proofErr w:type="spellEnd"/>
      <w:r>
        <w:rPr>
          <w:rFonts w:ascii="Times New Roman" w:eastAsia="Calibri" w:hAnsi="Times New Roman" w:cs="Times New Roman"/>
          <w:sz w:val="24"/>
          <w:szCs w:val="24"/>
        </w:rPr>
        <w:t>, LLC</w:t>
      </w:r>
    </w:p>
    <w:p w14:paraId="2A731B7A" w14:textId="711C2E75" w:rsidR="00B22A01" w:rsidRDefault="00B22A01" w:rsidP="00B22A01">
      <w:pPr>
        <w:suppressAutoHyphen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b/>
        <w:t>1108 E. Main St, Suite 801</w:t>
      </w:r>
    </w:p>
    <w:p w14:paraId="612F4560" w14:textId="13AA4744" w:rsidR="00B22A01" w:rsidRDefault="00B22A01" w:rsidP="00B22A01">
      <w:pPr>
        <w:suppressAutoHyphen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b/>
        <w:t>Richmond, VA  23219</w:t>
      </w:r>
    </w:p>
    <w:p w14:paraId="067CC463" w14:textId="24E16787" w:rsidR="00B22A01" w:rsidRDefault="00B22A01" w:rsidP="00B22A01">
      <w:pPr>
        <w:suppressAutoHyphen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b/>
        <w:t>Email: rfurguson@kiernantrebach.com</w:t>
      </w:r>
    </w:p>
    <w:p w14:paraId="45CD06D7" w14:textId="4FC5A333" w:rsidR="00B22A01" w:rsidRDefault="00B22A01" w:rsidP="00B22A01">
      <w:pPr>
        <w:suppressAutoHyphen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b/>
        <w:t>Phone: 804-430-9200</w:t>
      </w:r>
    </w:p>
    <w:p w14:paraId="5D9CB1BB" w14:textId="77777777" w:rsidR="0020262B" w:rsidRPr="00423F76" w:rsidRDefault="0020262B" w:rsidP="00423F76">
      <w:pPr>
        <w:suppressAutoHyphens/>
        <w:spacing w:after="0" w:line="360" w:lineRule="auto"/>
        <w:ind w:firstLine="720"/>
        <w:rPr>
          <w:rFonts w:ascii="Times New Roman" w:eastAsia="Calibri" w:hAnsi="Times New Roman" w:cs="Times New Roman"/>
          <w:sz w:val="24"/>
          <w:szCs w:val="24"/>
        </w:rPr>
      </w:pPr>
    </w:p>
    <w:p w14:paraId="3B138770" w14:textId="77777777" w:rsidR="00423F76" w:rsidRPr="00423F76" w:rsidRDefault="00423F76" w:rsidP="0020262B">
      <w:pPr>
        <w:widowControl w:val="0"/>
        <w:autoSpaceDE w:val="0"/>
        <w:autoSpaceDN w:val="0"/>
        <w:adjustRightInd w:val="0"/>
        <w:spacing w:after="0" w:line="240" w:lineRule="auto"/>
        <w:rPr>
          <w:rFonts w:ascii="Calibri" w:eastAsia="Calibri" w:hAnsi="Calibri" w:cs="Times New Roman"/>
          <w:szCs w:val="21"/>
        </w:rPr>
      </w:pPr>
    </w:p>
    <w:p w14:paraId="0F19A7B3" w14:textId="6513E18E" w:rsidR="00423F76" w:rsidRPr="00423F76" w:rsidRDefault="0020262B" w:rsidP="00423F76">
      <w:pPr>
        <w:suppressAutoHyphens/>
        <w:spacing w:after="0" w:line="24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00423F76" w:rsidRPr="00423F76">
        <w:rPr>
          <w:rFonts w:ascii="Times New Roman" w:eastAsia="Calibri" w:hAnsi="Times New Roman" w:cs="Times New Roman"/>
          <w:bCs/>
          <w:sz w:val="24"/>
          <w:szCs w:val="24"/>
          <w:u w:val="single"/>
        </w:rPr>
        <w:tab/>
      </w:r>
      <w:r w:rsidR="00423F76" w:rsidRPr="00423F76">
        <w:rPr>
          <w:rFonts w:ascii="Times New Roman" w:eastAsia="Calibri" w:hAnsi="Times New Roman" w:cs="Times New Roman"/>
          <w:bCs/>
          <w:sz w:val="24"/>
          <w:szCs w:val="24"/>
          <w:u w:val="single"/>
        </w:rPr>
        <w:tab/>
      </w:r>
      <w:r w:rsidR="00423F76" w:rsidRPr="00423F76">
        <w:rPr>
          <w:rFonts w:ascii="Times New Roman" w:eastAsia="Calibri" w:hAnsi="Times New Roman" w:cs="Times New Roman"/>
          <w:bCs/>
          <w:sz w:val="24"/>
          <w:szCs w:val="24"/>
          <w:u w:val="single"/>
        </w:rPr>
        <w:tab/>
      </w:r>
      <w:r w:rsidR="00423F76" w:rsidRPr="00423F76">
        <w:rPr>
          <w:rFonts w:ascii="Times New Roman" w:eastAsia="Calibri" w:hAnsi="Times New Roman" w:cs="Times New Roman"/>
          <w:bCs/>
          <w:sz w:val="24"/>
          <w:szCs w:val="24"/>
          <w:u w:val="single"/>
        </w:rPr>
        <w:tab/>
      </w:r>
    </w:p>
    <w:p w14:paraId="66432D74" w14:textId="047D6725" w:rsidR="00AC6419" w:rsidRDefault="00423F76" w:rsidP="00423F76">
      <w:pPr>
        <w:suppressAutoHyphens/>
        <w:spacing w:after="0" w:line="240" w:lineRule="auto"/>
        <w:ind w:firstLine="720"/>
        <w:rPr>
          <w:rFonts w:ascii="Times New Roman" w:eastAsia="Calibri" w:hAnsi="Times New Roman" w:cs="Times New Roman"/>
          <w:bCs/>
          <w:sz w:val="24"/>
          <w:szCs w:val="24"/>
        </w:rPr>
      </w:pPr>
      <w:r w:rsidRPr="00423F76">
        <w:rPr>
          <w:rFonts w:ascii="Times New Roman" w:eastAsia="Calibri" w:hAnsi="Times New Roman" w:cs="Times New Roman"/>
          <w:bCs/>
          <w:sz w:val="24"/>
          <w:szCs w:val="24"/>
        </w:rPr>
        <w:tab/>
      </w:r>
      <w:r w:rsidRPr="00423F76">
        <w:rPr>
          <w:rFonts w:ascii="Times New Roman" w:eastAsia="Calibri" w:hAnsi="Times New Roman" w:cs="Times New Roman"/>
          <w:bCs/>
          <w:sz w:val="24"/>
          <w:szCs w:val="24"/>
        </w:rPr>
        <w:tab/>
      </w:r>
      <w:r w:rsidRPr="00423F76">
        <w:rPr>
          <w:rFonts w:ascii="Times New Roman" w:eastAsia="Calibri" w:hAnsi="Times New Roman" w:cs="Times New Roman"/>
          <w:bCs/>
          <w:sz w:val="24"/>
          <w:szCs w:val="24"/>
        </w:rPr>
        <w:tab/>
      </w:r>
      <w:r w:rsidRPr="00423F76">
        <w:rPr>
          <w:rFonts w:ascii="Times New Roman" w:eastAsia="Calibri" w:hAnsi="Times New Roman" w:cs="Times New Roman"/>
          <w:bCs/>
          <w:sz w:val="24"/>
          <w:szCs w:val="24"/>
        </w:rPr>
        <w:tab/>
      </w:r>
      <w:r w:rsidRPr="00423F76">
        <w:rPr>
          <w:rFonts w:ascii="Times New Roman" w:eastAsia="Calibri" w:hAnsi="Times New Roman" w:cs="Times New Roman"/>
          <w:bCs/>
          <w:sz w:val="24"/>
          <w:szCs w:val="24"/>
        </w:rPr>
        <w:tab/>
      </w:r>
      <w:r w:rsidRPr="00423F76">
        <w:rPr>
          <w:rFonts w:ascii="Times New Roman" w:eastAsia="Calibri" w:hAnsi="Times New Roman" w:cs="Times New Roman"/>
          <w:bCs/>
          <w:sz w:val="24"/>
          <w:szCs w:val="24"/>
        </w:rPr>
        <w:tab/>
        <w:t xml:space="preserve">        Jeffrey J. Downey</w:t>
      </w:r>
    </w:p>
    <w:p w14:paraId="59EA9D2E" w14:textId="77777777" w:rsidR="00AC6419" w:rsidRDefault="00AC6419">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59614ABF" w14:textId="3C8E0FBC" w:rsidR="00AC6419" w:rsidRDefault="00AC6419" w:rsidP="00AC6419">
      <w:pPr>
        <w:suppressAutoHyphens/>
        <w:spacing w:after="0" w:line="240" w:lineRule="auto"/>
        <w:ind w:firstLine="720"/>
        <w:jc w:val="center"/>
        <w:rPr>
          <w:rFonts w:ascii="Times New Roman" w:eastAsia="Calibri" w:hAnsi="Times New Roman" w:cs="Times New Roman"/>
          <w:b/>
          <w:sz w:val="96"/>
          <w:szCs w:val="96"/>
        </w:rPr>
      </w:pPr>
      <w:proofErr w:type="spellStart"/>
      <w:r>
        <w:rPr>
          <w:rFonts w:ascii="Times New Roman" w:eastAsia="Calibri" w:hAnsi="Times New Roman" w:cs="Times New Roman"/>
          <w:b/>
          <w:sz w:val="96"/>
          <w:szCs w:val="96"/>
        </w:rPr>
        <w:lastRenderedPageBreak/>
        <w:t>Exh</w:t>
      </w:r>
      <w:proofErr w:type="spellEnd"/>
      <w:r>
        <w:rPr>
          <w:rFonts w:ascii="Times New Roman" w:eastAsia="Calibri" w:hAnsi="Times New Roman" w:cs="Times New Roman"/>
          <w:b/>
          <w:sz w:val="96"/>
          <w:szCs w:val="96"/>
        </w:rPr>
        <w:t>. No. 1</w:t>
      </w:r>
    </w:p>
    <w:p w14:paraId="30FE6DE6" w14:textId="77777777" w:rsidR="00AC6419" w:rsidRDefault="00AC6419">
      <w:pPr>
        <w:rPr>
          <w:rFonts w:ascii="Times New Roman" w:eastAsia="Calibri" w:hAnsi="Times New Roman" w:cs="Times New Roman"/>
          <w:b/>
          <w:sz w:val="96"/>
          <w:szCs w:val="96"/>
        </w:rPr>
      </w:pPr>
      <w:r>
        <w:rPr>
          <w:rFonts w:ascii="Times New Roman" w:eastAsia="Calibri" w:hAnsi="Times New Roman" w:cs="Times New Roman"/>
          <w:b/>
          <w:sz w:val="96"/>
          <w:szCs w:val="96"/>
        </w:rPr>
        <w:br w:type="page"/>
      </w:r>
    </w:p>
    <w:p w14:paraId="17BCAEE4" w14:textId="6D9AC175" w:rsidR="00AC6419" w:rsidRDefault="00AC6419" w:rsidP="00AC6419">
      <w:pPr>
        <w:suppressAutoHyphens/>
        <w:spacing w:after="0" w:line="240" w:lineRule="auto"/>
        <w:ind w:firstLine="720"/>
        <w:jc w:val="center"/>
        <w:rPr>
          <w:rFonts w:ascii="Times New Roman" w:eastAsia="Calibri" w:hAnsi="Times New Roman" w:cs="Times New Roman"/>
          <w:b/>
          <w:sz w:val="96"/>
          <w:szCs w:val="96"/>
        </w:rPr>
      </w:pPr>
      <w:proofErr w:type="spellStart"/>
      <w:r>
        <w:rPr>
          <w:rFonts w:ascii="Times New Roman" w:eastAsia="Calibri" w:hAnsi="Times New Roman" w:cs="Times New Roman"/>
          <w:b/>
          <w:sz w:val="96"/>
          <w:szCs w:val="96"/>
        </w:rPr>
        <w:lastRenderedPageBreak/>
        <w:t>Exh</w:t>
      </w:r>
      <w:proofErr w:type="spellEnd"/>
      <w:r>
        <w:rPr>
          <w:rFonts w:ascii="Times New Roman" w:eastAsia="Calibri" w:hAnsi="Times New Roman" w:cs="Times New Roman"/>
          <w:b/>
          <w:sz w:val="96"/>
          <w:szCs w:val="96"/>
        </w:rPr>
        <w:t>. No. 2</w:t>
      </w:r>
    </w:p>
    <w:p w14:paraId="64FC8CAE" w14:textId="77777777" w:rsidR="00AC6419" w:rsidRDefault="00AC6419">
      <w:pPr>
        <w:rPr>
          <w:rFonts w:ascii="Times New Roman" w:eastAsia="Calibri" w:hAnsi="Times New Roman" w:cs="Times New Roman"/>
          <w:b/>
          <w:sz w:val="96"/>
          <w:szCs w:val="96"/>
        </w:rPr>
      </w:pPr>
      <w:r>
        <w:rPr>
          <w:rFonts w:ascii="Times New Roman" w:eastAsia="Calibri" w:hAnsi="Times New Roman" w:cs="Times New Roman"/>
          <w:b/>
          <w:sz w:val="96"/>
          <w:szCs w:val="96"/>
        </w:rPr>
        <w:br w:type="page"/>
      </w:r>
    </w:p>
    <w:p w14:paraId="3AA52C21" w14:textId="59F88927" w:rsidR="00423F76" w:rsidRPr="00AC6419" w:rsidRDefault="00AC6419" w:rsidP="00AC6419">
      <w:pPr>
        <w:suppressAutoHyphens/>
        <w:spacing w:after="0" w:line="240" w:lineRule="auto"/>
        <w:ind w:firstLine="720"/>
        <w:jc w:val="center"/>
        <w:rPr>
          <w:rFonts w:ascii="Times New Roman" w:eastAsia="Calibri" w:hAnsi="Times New Roman" w:cs="Times New Roman"/>
          <w:b/>
          <w:sz w:val="96"/>
          <w:szCs w:val="96"/>
        </w:rPr>
      </w:pPr>
      <w:proofErr w:type="spellStart"/>
      <w:r>
        <w:rPr>
          <w:rFonts w:ascii="Times New Roman" w:eastAsia="Calibri" w:hAnsi="Times New Roman" w:cs="Times New Roman"/>
          <w:b/>
          <w:sz w:val="96"/>
          <w:szCs w:val="96"/>
        </w:rPr>
        <w:lastRenderedPageBreak/>
        <w:t>Exh</w:t>
      </w:r>
      <w:proofErr w:type="spellEnd"/>
      <w:r>
        <w:rPr>
          <w:rFonts w:ascii="Times New Roman" w:eastAsia="Calibri" w:hAnsi="Times New Roman" w:cs="Times New Roman"/>
          <w:b/>
          <w:sz w:val="96"/>
          <w:szCs w:val="96"/>
        </w:rPr>
        <w:t>. No. 3</w:t>
      </w:r>
    </w:p>
    <w:p w14:paraId="3A33BA85" w14:textId="77777777" w:rsidR="00423F76" w:rsidRPr="00423F76" w:rsidRDefault="00423F76" w:rsidP="00423F76">
      <w:pPr>
        <w:autoSpaceDE w:val="0"/>
        <w:autoSpaceDN w:val="0"/>
        <w:adjustRightInd w:val="0"/>
        <w:spacing w:after="0" w:line="480" w:lineRule="auto"/>
        <w:ind w:firstLine="720"/>
        <w:jc w:val="both"/>
        <w:rPr>
          <w:rFonts w:ascii="Times New Roman" w:eastAsia="Times New Roman" w:hAnsi="Times New Roman" w:cs="Times New Roman"/>
          <w:sz w:val="24"/>
          <w:szCs w:val="24"/>
        </w:rPr>
      </w:pPr>
    </w:p>
    <w:bookmarkEnd w:id="2"/>
    <w:p w14:paraId="0473B4F6" w14:textId="7E7AD944" w:rsidR="001F3C01" w:rsidRDefault="001F3C01" w:rsidP="001F3C01">
      <w:pPr>
        <w:spacing w:after="0" w:line="480" w:lineRule="auto"/>
        <w:rPr>
          <w:rFonts w:eastAsia="Calibri"/>
        </w:rPr>
      </w:pPr>
    </w:p>
    <w:p w14:paraId="35A3F2E4" w14:textId="77777777" w:rsidR="00423F76" w:rsidRDefault="00423F76" w:rsidP="001F3C01">
      <w:pPr>
        <w:rPr>
          <w:rFonts w:ascii="Times New Roman" w:hAnsi="Times New Roman"/>
          <w:bCs/>
          <w:sz w:val="24"/>
          <w:szCs w:val="24"/>
        </w:rPr>
      </w:pPr>
    </w:p>
    <w:p w14:paraId="2C74F970" w14:textId="77777777" w:rsidR="00423F76" w:rsidRDefault="00423F76" w:rsidP="001F3C01">
      <w:pPr>
        <w:rPr>
          <w:rFonts w:ascii="Times New Roman" w:hAnsi="Times New Roman"/>
          <w:bCs/>
          <w:sz w:val="24"/>
          <w:szCs w:val="24"/>
        </w:rPr>
      </w:pPr>
    </w:p>
    <w:sectPr w:rsidR="00423F76" w:rsidSect="0075607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5C5D" w14:textId="77777777" w:rsidR="003A6A3C" w:rsidRDefault="003A6A3C" w:rsidP="00756075">
      <w:pPr>
        <w:spacing w:after="0" w:line="240" w:lineRule="auto"/>
      </w:pPr>
      <w:r>
        <w:separator/>
      </w:r>
    </w:p>
  </w:endnote>
  <w:endnote w:type="continuationSeparator" w:id="0">
    <w:p w14:paraId="38BF3D6D" w14:textId="77777777" w:rsidR="003A6A3C" w:rsidRDefault="003A6A3C" w:rsidP="0075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95D3" w14:textId="77777777" w:rsidR="00756075" w:rsidRDefault="00756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3394"/>
      <w:docPartObj>
        <w:docPartGallery w:val="Page Numbers (Bottom of Page)"/>
        <w:docPartUnique/>
      </w:docPartObj>
    </w:sdtPr>
    <w:sdtEndPr>
      <w:rPr>
        <w:noProof/>
      </w:rPr>
    </w:sdtEndPr>
    <w:sdtContent>
      <w:p w14:paraId="56637F17" w14:textId="66041901" w:rsidR="00756075" w:rsidRDefault="007560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588A6" w14:textId="77777777" w:rsidR="00756075" w:rsidRDefault="00756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82F2" w14:textId="77777777" w:rsidR="00756075" w:rsidRDefault="0075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0835" w14:textId="77777777" w:rsidR="003A6A3C" w:rsidRDefault="003A6A3C" w:rsidP="00756075">
      <w:pPr>
        <w:spacing w:after="0" w:line="240" w:lineRule="auto"/>
      </w:pPr>
      <w:r>
        <w:separator/>
      </w:r>
    </w:p>
  </w:footnote>
  <w:footnote w:type="continuationSeparator" w:id="0">
    <w:p w14:paraId="6DDDB09D" w14:textId="77777777" w:rsidR="003A6A3C" w:rsidRDefault="003A6A3C" w:rsidP="00756075">
      <w:pPr>
        <w:spacing w:after="0" w:line="240" w:lineRule="auto"/>
      </w:pPr>
      <w:r>
        <w:continuationSeparator/>
      </w:r>
    </w:p>
  </w:footnote>
  <w:footnote w:id="1">
    <w:p w14:paraId="7B64102B" w14:textId="77777777" w:rsidR="00423F76" w:rsidRPr="00572D51" w:rsidRDefault="00423F76" w:rsidP="00423F76">
      <w:pPr>
        <w:pStyle w:val="FootnoteText"/>
        <w:rPr>
          <w:rFonts w:ascii="Times New Roman" w:hAnsi="Times New Roman" w:cs="Times New Roman"/>
        </w:rPr>
      </w:pPr>
      <w:r>
        <w:rPr>
          <w:rStyle w:val="FootnoteReference"/>
        </w:rPr>
        <w:footnoteRef/>
      </w:r>
      <w:r>
        <w:t xml:space="preserve"> </w:t>
      </w:r>
      <w:r w:rsidRPr="00572D51">
        <w:rPr>
          <w:rFonts w:ascii="Times New Roman" w:hAnsi="Times New Roman" w:cs="Times New Roman"/>
        </w:rPr>
        <w:t xml:space="preserve">Defendants are precluded from basing their demurrer arguments on any grounds not specifically stated in their written demurrer. Va. Code § 8.01-273 (A). </w:t>
      </w:r>
    </w:p>
  </w:footnote>
  <w:footnote w:id="2">
    <w:p w14:paraId="201A60A7" w14:textId="0AB36F24" w:rsidR="00232E41" w:rsidRPr="00D32EC1" w:rsidRDefault="00232E41" w:rsidP="00232E41">
      <w:pPr>
        <w:jc w:val="both"/>
        <w:rPr>
          <w:rFonts w:ascii="Times New Roman" w:hAnsi="Times New Roman"/>
          <w:sz w:val="20"/>
          <w:szCs w:val="20"/>
        </w:rPr>
      </w:pPr>
      <w:r w:rsidRPr="003170D2">
        <w:rPr>
          <w:rStyle w:val="FootnoteReference"/>
        </w:rPr>
        <w:footnoteRef/>
      </w:r>
      <w:r>
        <w:rPr>
          <w:rFonts w:ascii="Times New Roman" w:hAnsi="Times New Roman"/>
        </w:rPr>
        <w:t>.</w:t>
      </w:r>
      <w:r w:rsidRPr="003170D2">
        <w:rPr>
          <w:rFonts w:ascii="Times New Roman" w:hAnsi="Times New Roman"/>
        </w:rPr>
        <w:t xml:space="preserve">  </w:t>
      </w:r>
      <w:r w:rsidRPr="00D32EC1">
        <w:rPr>
          <w:rFonts w:ascii="Times New Roman" w:hAnsi="Times New Roman"/>
          <w:sz w:val="20"/>
          <w:szCs w:val="20"/>
        </w:rPr>
        <w:t xml:space="preserve">The specificity requirement does not apply to a VCPA cause of action.  </w:t>
      </w:r>
      <w:r w:rsidRPr="00D32EC1">
        <w:rPr>
          <w:rFonts w:ascii="Times New Roman" w:hAnsi="Times New Roman"/>
          <w:i/>
          <w:iCs/>
          <w:sz w:val="20"/>
          <w:szCs w:val="20"/>
          <w:lang w:val="fr-FR"/>
        </w:rPr>
        <w:t xml:space="preserve">Patten v. Chrysler Corp, </w:t>
      </w:r>
      <w:r w:rsidRPr="00D32EC1">
        <w:rPr>
          <w:rFonts w:ascii="Times New Roman" w:hAnsi="Times New Roman"/>
          <w:sz w:val="20"/>
          <w:szCs w:val="20"/>
          <w:lang w:val="fr-FR"/>
        </w:rPr>
        <w:t xml:space="preserve">1997 WL 1070537, *2 (Va. Cir. Ct.1997); </w:t>
      </w:r>
      <w:r w:rsidRPr="00D32EC1">
        <w:rPr>
          <w:rFonts w:ascii="Times New Roman" w:eastAsia="Calibri" w:hAnsi="Times New Roman"/>
          <w:sz w:val="20"/>
          <w:szCs w:val="20"/>
        </w:rPr>
        <w:object w:dxaOrig="225" w:dyaOrig="225" w14:anchorId="651CE216">
          <v:shape id="_x0000_i1043" type="#_x0000_t75" style="width:1in;height:18pt" o:ole="">
            <v:imagedata r:id="rId1" o:title=""/>
          </v:shape>
          <w:control r:id="rId2" w:name="DefaultOcxName111" w:shapeid="_x0000_i1043"/>
        </w:object>
      </w:r>
      <w:hyperlink r:id="rId3" w:history="1">
        <w:r w:rsidRPr="00D32EC1">
          <w:rPr>
            <w:rFonts w:ascii="Times New Roman" w:hAnsi="Times New Roman"/>
            <w:i/>
            <w:iCs/>
            <w:sz w:val="20"/>
            <w:szCs w:val="20"/>
            <w:lang w:val="fr-FR"/>
          </w:rPr>
          <w:t>Debrew v. Lexus,</w:t>
        </w:r>
        <w:r w:rsidRPr="00D32EC1">
          <w:rPr>
            <w:rFonts w:ascii="Times New Roman" w:hAnsi="Times New Roman"/>
            <w:sz w:val="20"/>
            <w:szCs w:val="20"/>
            <w:lang w:val="fr-FR"/>
          </w:rPr>
          <w:t xml:space="preserve"> 1997 WL 1070613, *2 (Va. Cir. </w:t>
        </w:r>
        <w:r w:rsidRPr="00D32EC1">
          <w:rPr>
            <w:rFonts w:ascii="Times New Roman" w:hAnsi="Times New Roman"/>
            <w:sz w:val="20"/>
            <w:szCs w:val="20"/>
          </w:rPr>
          <w:t>*554 Ct.1997)</w:t>
        </w:r>
      </w:hyperlink>
      <w:r w:rsidRPr="00D32EC1">
        <w:rPr>
          <w:rFonts w:ascii="Times New Roman" w:hAnsi="Times New Roman"/>
          <w:sz w:val="20"/>
          <w:szCs w:val="20"/>
        </w:rPr>
        <w:t xml:space="preserve">.  </w:t>
      </w:r>
    </w:p>
    <w:p w14:paraId="2EFAA768" w14:textId="77777777" w:rsidR="00232E41" w:rsidRPr="007D2686" w:rsidRDefault="00232E41" w:rsidP="004162AC">
      <w:pPr>
        <w:pStyle w:val="FootnoteTextMore"/>
      </w:pPr>
    </w:p>
  </w:footnote>
  <w:footnote w:id="3">
    <w:p w14:paraId="48CD323D" w14:textId="6C9CB451" w:rsidR="00423F76" w:rsidRPr="00572D51" w:rsidRDefault="004F377D" w:rsidP="00423F76">
      <w:pPr>
        <w:pStyle w:val="FootnoteText"/>
        <w:rPr>
          <w:rFonts w:ascii="Times New Roman" w:hAnsi="Times New Roman" w:cs="Times New Roman"/>
        </w:rPr>
      </w:pPr>
      <w:r>
        <w:rPr>
          <w:rFonts w:ascii="Times New Roman" w:hAnsi="Times New Roman" w:cs="Times New Roman"/>
        </w:rPr>
        <w:t xml:space="preserve">3 </w:t>
      </w:r>
      <w:r w:rsidR="00423F76" w:rsidRPr="00572D51">
        <w:rPr>
          <w:rFonts w:ascii="Times New Roman" w:hAnsi="Times New Roman" w:cs="Times New Roman"/>
          <w:i/>
        </w:rPr>
        <w:t xml:space="preserve">Lodal v. Verizon Va. Inc, </w:t>
      </w:r>
      <w:r w:rsidR="00423F76" w:rsidRPr="00572D51">
        <w:rPr>
          <w:rFonts w:ascii="Times New Roman" w:hAnsi="Times New Roman" w:cs="Times New Roman"/>
        </w:rPr>
        <w:t xml:space="preserve">74 Va. Cir. 110, 112 (Fairfax Cir. Ct. 2007), citing </w:t>
      </w:r>
      <w:r w:rsidR="00423F76" w:rsidRPr="00572D51">
        <w:rPr>
          <w:rFonts w:ascii="Times New Roman" w:hAnsi="Times New Roman" w:cs="Times New Roman"/>
          <w:i/>
        </w:rPr>
        <w:t xml:space="preserve">Cetercorp, Inc. v. Catering Concepts, Inc., </w:t>
      </w:r>
      <w:r w:rsidR="00423F76" w:rsidRPr="00572D51">
        <w:rPr>
          <w:rFonts w:ascii="Times New Roman" w:hAnsi="Times New Roman" w:cs="Times New Roman"/>
        </w:rPr>
        <w:t xml:space="preserve">246 Va. 22, 24, 431 S.E.2d 277, 279 (1993); </w:t>
      </w:r>
      <w:r w:rsidR="00423F76" w:rsidRPr="00572D51">
        <w:rPr>
          <w:rFonts w:ascii="Times New Roman" w:hAnsi="Times New Roman" w:cs="Times New Roman"/>
          <w:i/>
        </w:rPr>
        <w:t xml:space="preserve">Boy Blue Inc. v. Brown, </w:t>
      </w:r>
      <w:r w:rsidR="00423F76" w:rsidRPr="00572D51">
        <w:rPr>
          <w:rFonts w:ascii="Times New Roman" w:hAnsi="Times New Roman" w:cs="Times New Roman"/>
        </w:rPr>
        <w:t xml:space="preserve">74 Va. Cir. 4, 14, 2007 Va. Cir. Lexis 165 (Essex Co. Cir. Ct. 2007)(Holding that in order to withstand demurrer, notice pleading requires only allegations sufficient to inform defendants of the nature and character of the claim being made without the necessity of having to provide details). </w:t>
      </w:r>
    </w:p>
  </w:footnote>
  <w:footnote w:id="4">
    <w:p w14:paraId="63B3BD66" w14:textId="4F7A88DC" w:rsidR="00831C58" w:rsidRDefault="00831C58">
      <w:pPr>
        <w:pStyle w:val="FootnoteText"/>
      </w:pPr>
      <w:r>
        <w:rPr>
          <w:rStyle w:val="FootnoteReference"/>
        </w:rPr>
        <w:footnoteRef/>
      </w:r>
      <w:r>
        <w:t xml:space="preserve"> </w:t>
      </w:r>
      <w:r w:rsidRPr="00831C58">
        <w:rPr>
          <w:rFonts w:ascii="Times New Roman" w:hAnsi="Times New Roman" w:cs="Times New Roman"/>
        </w:rPr>
        <w:t>The fact that the conduct in substituting the prefabricated wood occurred after the misrepresentation did not change the result.</w:t>
      </w:r>
      <w:r>
        <w:t xml:space="preserve">  </w:t>
      </w:r>
    </w:p>
  </w:footnote>
  <w:footnote w:id="5">
    <w:p w14:paraId="250C0160" w14:textId="7B0637F7" w:rsidR="0078711D" w:rsidRDefault="0078711D" w:rsidP="0078711D">
      <w:pPr>
        <w:pStyle w:val="FootnoteText"/>
        <w:rPr>
          <w:rFonts w:ascii="Times New Roman" w:hAnsi="Times New Roman" w:cs="Times New Roman"/>
        </w:rPr>
      </w:pPr>
      <w:r>
        <w:rPr>
          <w:rStyle w:val="FootnoteReference"/>
        </w:rPr>
        <w:footnoteRef/>
      </w:r>
      <w:r>
        <w:t xml:space="preserve"> </w:t>
      </w:r>
      <w:r w:rsidRPr="000D07A0">
        <w:rPr>
          <w:rFonts w:ascii="Times New Roman" w:hAnsi="Times New Roman" w:cs="Times New Roman"/>
        </w:rPr>
        <w:t xml:space="preserve">POA Allen McCorkle </w:t>
      </w:r>
      <w:r w:rsidR="003171A7">
        <w:rPr>
          <w:rFonts w:ascii="Times New Roman" w:hAnsi="Times New Roman" w:cs="Times New Roman"/>
        </w:rPr>
        <w:t xml:space="preserve">also </w:t>
      </w:r>
      <w:r w:rsidRPr="000D07A0">
        <w:rPr>
          <w:rFonts w:ascii="Times New Roman" w:hAnsi="Times New Roman" w:cs="Times New Roman"/>
        </w:rPr>
        <w:t xml:space="preserve">signed the transfer addendum to </w:t>
      </w:r>
      <w:r>
        <w:rPr>
          <w:rFonts w:ascii="Times New Roman" w:hAnsi="Times New Roman" w:cs="Times New Roman"/>
        </w:rPr>
        <w:t xml:space="preserve">the </w:t>
      </w:r>
      <w:r w:rsidRPr="000D07A0">
        <w:rPr>
          <w:rFonts w:ascii="Times New Roman" w:hAnsi="Times New Roman" w:cs="Times New Roman"/>
        </w:rPr>
        <w:t xml:space="preserve">assisted living agreement on behalf of Ms. McCorkle on November 25, 2020. </w:t>
      </w:r>
      <w:r>
        <w:rPr>
          <w:rFonts w:ascii="Times New Roman" w:hAnsi="Times New Roman" w:cs="Times New Roman"/>
        </w:rPr>
        <w:t xml:space="preserve">(Complaint, Exh. B). </w:t>
      </w:r>
      <w:r w:rsidR="00250000">
        <w:rPr>
          <w:rFonts w:ascii="Times New Roman" w:hAnsi="Times New Roman" w:cs="Times New Roman"/>
        </w:rPr>
        <w:t>Defendants’ argument that the family members cannot be considered consumers is a red herring. Demented residents are not going to recall staff misrepresentations. Under Defendant’s logic, a demented person who relied upon her family or Power of Attorney</w:t>
      </w:r>
      <w:r w:rsidR="00D32983">
        <w:rPr>
          <w:rFonts w:ascii="Times New Roman" w:hAnsi="Times New Roman" w:cs="Times New Roman"/>
        </w:rPr>
        <w:t xml:space="preserve"> during the admission’s process</w:t>
      </w:r>
      <w:r w:rsidR="00250000">
        <w:rPr>
          <w:rFonts w:ascii="Times New Roman" w:hAnsi="Times New Roman" w:cs="Times New Roman"/>
        </w:rPr>
        <w:t xml:space="preserve"> could never make a claim under the VCPA. </w:t>
      </w:r>
    </w:p>
    <w:p w14:paraId="65AFBDDA" w14:textId="77777777" w:rsidR="0074503A" w:rsidRPr="0074503A" w:rsidRDefault="0074503A" w:rsidP="0078711D">
      <w:pPr>
        <w:pStyle w:val="FootnoteText"/>
        <w:rPr>
          <w:rFonts w:ascii="Times New Roman" w:hAnsi="Times New Roman" w:cs="Times New Roman"/>
        </w:rPr>
      </w:pPr>
    </w:p>
  </w:footnote>
  <w:footnote w:id="6">
    <w:p w14:paraId="1D7446D9" w14:textId="71950C29" w:rsidR="00F524F8" w:rsidRPr="00F524F8" w:rsidRDefault="00F524F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By referencing actual numeric staffing levels, Plaintiff has pled even more factually based misrepresentations than were alleged in Beaty.  While Defendants attempt to confuse the issue by arguing that those staff members were spread out on different wings, Plaintiff has alleged that were was </w:t>
      </w:r>
      <w:r w:rsidR="002D5546">
        <w:rPr>
          <w:rFonts w:ascii="Times New Roman" w:hAnsi="Times New Roman" w:cs="Times New Roman"/>
        </w:rPr>
        <w:t xml:space="preserve">repeatedly </w:t>
      </w:r>
      <w:r>
        <w:rPr>
          <w:rFonts w:ascii="Times New Roman" w:hAnsi="Times New Roman" w:cs="Times New Roman"/>
        </w:rPr>
        <w:t xml:space="preserve">no staff members available to assist Ms. McCorkle in the morning hours, when she would rise and shower. </w:t>
      </w:r>
      <w:r w:rsidR="00FD52E1">
        <w:rPr>
          <w:rFonts w:ascii="Times New Roman" w:hAnsi="Times New Roman" w:cs="Times New Roman"/>
        </w:rPr>
        <w:t>(</w:t>
      </w:r>
      <w:r w:rsidR="002D5546">
        <w:rPr>
          <w:rFonts w:ascii="Times New Roman" w:hAnsi="Times New Roman" w:cs="Times New Roman"/>
        </w:rPr>
        <w:t xml:space="preserve">Complaint, ¶ </w:t>
      </w:r>
      <w:r w:rsidR="00FD52E1">
        <w:rPr>
          <w:rFonts w:ascii="Times New Roman" w:hAnsi="Times New Roman" w:cs="Times New Roman"/>
        </w:rPr>
        <w:t>18)</w:t>
      </w:r>
      <w:r w:rsidR="002D5546">
        <w:rPr>
          <w:rFonts w:ascii="Times New Roman" w:hAnsi="Times New Roman" w:cs="Times New Roman"/>
        </w:rPr>
        <w:t xml:space="preserve"> When </w:t>
      </w:r>
      <w:r w:rsidR="00FD52E1">
        <w:rPr>
          <w:rFonts w:ascii="Times New Roman" w:hAnsi="Times New Roman" w:cs="Times New Roman"/>
        </w:rPr>
        <w:t xml:space="preserve">these </w:t>
      </w:r>
      <w:r w:rsidR="002D5546">
        <w:rPr>
          <w:rFonts w:ascii="Times New Roman" w:hAnsi="Times New Roman" w:cs="Times New Roman"/>
        </w:rPr>
        <w:t xml:space="preserve">allegations are read in context and Plaintiff is given the benefit of all related inferences, such allegations are more than sufficient to satisfy Virginia’s notice pleading standards.  </w:t>
      </w:r>
    </w:p>
  </w:footnote>
  <w:footnote w:id="7">
    <w:p w14:paraId="310685A9" w14:textId="2215B766" w:rsidR="008F4CF6" w:rsidRPr="008F4CF6" w:rsidRDefault="008F4C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 </w:t>
      </w:r>
      <w:r w:rsidRPr="008F4CF6">
        <w:rPr>
          <w:rFonts w:ascii="Times New Roman" w:hAnsi="Times New Roman" w:cs="Times New Roman"/>
          <w:i/>
          <w:iCs/>
        </w:rPr>
        <w:t>Humphrey</w:t>
      </w:r>
      <w:r>
        <w:rPr>
          <w:rFonts w:ascii="Times New Roman" w:hAnsi="Times New Roman" w:cs="Times New Roman"/>
        </w:rPr>
        <w:t xml:space="preserve">, given the lack of detailed misrepresentations, Plaintiff voluntarily agreed to amend the complaint to allege additional misrepresentations supporting </w:t>
      </w:r>
      <w:r w:rsidR="0005737E">
        <w:rPr>
          <w:rFonts w:ascii="Times New Roman" w:hAnsi="Times New Roman" w:cs="Times New Roman"/>
        </w:rPr>
        <w:t>his VCPA</w:t>
      </w:r>
      <w:r>
        <w:rPr>
          <w:rFonts w:ascii="Times New Roman" w:hAnsi="Times New Roman" w:cs="Times New Roman"/>
        </w:rPr>
        <w:t xml:space="preserve"> claim.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620A" w14:textId="77777777" w:rsidR="00756075" w:rsidRDefault="0075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4D71" w14:textId="77777777" w:rsidR="00756075" w:rsidRDefault="00756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A893" w14:textId="77777777" w:rsidR="00756075" w:rsidRDefault="0075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306"/>
    <w:multiLevelType w:val="hybridMultilevel"/>
    <w:tmpl w:val="4F62E28A"/>
    <w:lvl w:ilvl="0" w:tplc="00B0D432">
      <w:start w:val="5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34A0"/>
    <w:multiLevelType w:val="hybridMultilevel"/>
    <w:tmpl w:val="ECF4DEE0"/>
    <w:lvl w:ilvl="0" w:tplc="87902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236EF"/>
    <w:multiLevelType w:val="hybridMultilevel"/>
    <w:tmpl w:val="9B50D9CC"/>
    <w:lvl w:ilvl="0" w:tplc="665408DA">
      <w:start w:val="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27A5"/>
    <w:multiLevelType w:val="hybridMultilevel"/>
    <w:tmpl w:val="442E1C30"/>
    <w:lvl w:ilvl="0" w:tplc="C1FEC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6271A"/>
    <w:multiLevelType w:val="multilevel"/>
    <w:tmpl w:val="3820B61C"/>
    <w:lvl w:ilvl="0">
      <w:start w:val="6"/>
      <w:numFmt w:val="upperRoman"/>
      <w:pStyle w:val="HCOMPLAINTL1"/>
      <w:lvlText w:val="%1."/>
      <w:lvlJc w:val="left"/>
      <w:pPr>
        <w:tabs>
          <w:tab w:val="num" w:pos="720"/>
        </w:tabs>
        <w:ind w:left="720" w:hanging="720"/>
      </w:pPr>
      <w:rPr>
        <w:rFonts w:hint="default"/>
        <w:b/>
        <w:i w:val="0"/>
        <w:caps w:val="0"/>
        <w:strike w:val="0"/>
        <w:dstrike w:val="0"/>
        <w:u w:val="none"/>
        <w:effect w:val="none"/>
      </w:rPr>
    </w:lvl>
    <w:lvl w:ilvl="1">
      <w:start w:val="35"/>
      <w:numFmt w:val="decimal"/>
      <w:lvlRestart w:val="0"/>
      <w:pStyle w:val="HCOMPLAINTL2"/>
      <w:lvlText w:val="%2."/>
      <w:lvlJc w:val="left"/>
      <w:pPr>
        <w:tabs>
          <w:tab w:val="num" w:pos="1440"/>
        </w:tabs>
        <w:ind w:left="0" w:firstLine="720"/>
      </w:pPr>
      <w:rPr>
        <w:rFonts w:ascii="Times New Roman" w:hAnsi="Times New Roman" w:cs="Times New Roman" w:hint="default"/>
        <w:b w:val="0"/>
        <w:i w:val="0"/>
        <w:caps w:val="0"/>
        <w:strike w:val="0"/>
        <w:dstrike w:val="0"/>
        <w:sz w:val="24"/>
        <w:szCs w:val="24"/>
        <w:u w:val="none"/>
        <w:effect w:val="none"/>
      </w:rPr>
    </w:lvl>
    <w:lvl w:ilvl="2">
      <w:start w:val="1"/>
      <w:numFmt w:val="lowerLetter"/>
      <w:pStyle w:val="HCOMPLAINTL3"/>
      <w:lvlText w:val="(%3)"/>
      <w:lvlJc w:val="left"/>
      <w:pPr>
        <w:tabs>
          <w:tab w:val="num" w:pos="2160"/>
        </w:tabs>
        <w:ind w:left="2160" w:hanging="720"/>
      </w:pPr>
      <w:rPr>
        <w:rFonts w:hint="default"/>
        <w:b w:val="0"/>
        <w:i w:val="0"/>
        <w:caps w:val="0"/>
        <w:strike w:val="0"/>
        <w:dstrike w:val="0"/>
        <w:u w:val="none"/>
        <w:effect w:val="none"/>
      </w:rPr>
    </w:lvl>
    <w:lvl w:ilvl="3">
      <w:start w:val="1"/>
      <w:numFmt w:val="upperRoman"/>
      <w:pStyle w:val="HCOMPLAINTL4"/>
      <w:suff w:val="nothing"/>
      <w:lvlText w:val="COUNT %4"/>
      <w:lvlJc w:val="left"/>
      <w:pPr>
        <w:ind w:left="0" w:firstLine="0"/>
      </w:pPr>
      <w:rPr>
        <w:rFonts w:hint="default"/>
        <w:b/>
        <w:i w:val="0"/>
        <w:caps/>
        <w:smallCaps w:val="0"/>
        <w:strike w:val="0"/>
        <w:dstrike w:val="0"/>
        <w:u w:val="none"/>
        <w:effect w:val="none"/>
      </w:rPr>
    </w:lvl>
    <w:lvl w:ilvl="4">
      <w:start w:val="1"/>
      <w:numFmt w:val="upperLetter"/>
      <w:pStyle w:val="HCOMPLAINTL5"/>
      <w:lvlText w:val="%5."/>
      <w:lvlJc w:val="left"/>
      <w:pPr>
        <w:tabs>
          <w:tab w:val="num" w:pos="1440"/>
        </w:tabs>
        <w:ind w:left="0" w:firstLine="720"/>
      </w:pPr>
      <w:rPr>
        <w:rFonts w:hint="default"/>
        <w:b w:val="0"/>
        <w:i w:val="0"/>
        <w:caps w:val="0"/>
        <w:strike w:val="0"/>
        <w:dstrike w:val="0"/>
        <w:u w:val="none"/>
        <w:effect w:val="none"/>
      </w:rPr>
    </w:lvl>
    <w:lvl w:ilvl="5">
      <w:start w:val="1"/>
      <w:numFmt w:val="lowerRoman"/>
      <w:pStyle w:val="HCOMPLAINTL6"/>
      <w:lvlText w:val="%6."/>
      <w:lvlJc w:val="left"/>
      <w:pPr>
        <w:tabs>
          <w:tab w:val="num" w:pos="3600"/>
        </w:tabs>
        <w:ind w:left="3600" w:hanging="720"/>
      </w:pPr>
      <w:rPr>
        <w:rFonts w:hint="default"/>
        <w:b w:val="0"/>
        <w:i w:val="0"/>
        <w:caps w:val="0"/>
        <w:strike w:val="0"/>
        <w:dstrike w:val="0"/>
        <w:u w:val="none"/>
        <w:effect w:val="none"/>
      </w:rPr>
    </w:lvl>
    <w:lvl w:ilvl="6">
      <w:start w:val="1"/>
      <w:numFmt w:val="none"/>
      <w:lvlRestart w:val="0"/>
      <w:pStyle w:val="HCOMPLAINTL7"/>
      <w:suff w:val="nothing"/>
      <w:lvlText w:val=""/>
      <w:lvlJc w:val="left"/>
      <w:pPr>
        <w:ind w:left="0" w:firstLine="0"/>
      </w:pPr>
      <w:rPr>
        <w:rFonts w:hint="default"/>
        <w:b/>
        <w:i w:val="0"/>
        <w:caps w:val="0"/>
        <w:strike w:val="0"/>
        <w:dstrike w:val="0"/>
        <w:color w:val="auto"/>
        <w:u w:val="none"/>
        <w:effect w:val="none"/>
      </w:rPr>
    </w:lvl>
    <w:lvl w:ilvl="7">
      <w:start w:val="1"/>
      <w:numFmt w:val="bullet"/>
      <w:lvlRestart w:val="0"/>
      <w:pStyle w:val="HCOMPLAINTL8"/>
      <w:lvlText w:val="·"/>
      <w:lvlJc w:val="left"/>
      <w:pPr>
        <w:tabs>
          <w:tab w:val="num" w:pos="1440"/>
        </w:tabs>
        <w:ind w:left="1440" w:hanging="720"/>
      </w:pPr>
      <w:rPr>
        <w:rFonts w:ascii="Symbol" w:hAnsi="Symbol" w:hint="default"/>
        <w:b/>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Roman"/>
      <w:lvlText w:val="%9."/>
      <w:lvlJc w:val="left"/>
      <w:pPr>
        <w:tabs>
          <w:tab w:val="num" w:pos="3600"/>
        </w:tabs>
        <w:ind w:left="3600" w:hanging="720"/>
      </w:pPr>
      <w:rPr>
        <w:rFonts w:hint="default"/>
        <w:b w:val="0"/>
        <w:i w:val="0"/>
        <w:caps w:val="0"/>
        <w:strike w:val="0"/>
        <w:dstrike w:val="0"/>
        <w:u w:val="none"/>
        <w:effect w:val="none"/>
      </w:rPr>
    </w:lvl>
  </w:abstractNum>
  <w:abstractNum w:abstractNumId="5" w15:restartNumberingAfterBreak="0">
    <w:nsid w:val="1DD40D1D"/>
    <w:multiLevelType w:val="hybridMultilevel"/>
    <w:tmpl w:val="7C761C56"/>
    <w:lvl w:ilvl="0" w:tplc="A756FA22">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DBC44B3"/>
    <w:multiLevelType w:val="hybridMultilevel"/>
    <w:tmpl w:val="96500BAE"/>
    <w:lvl w:ilvl="0" w:tplc="84F29BC6">
      <w:start w:val="1"/>
      <w:numFmt w:val="upperRoman"/>
      <w:lvlText w:val="%1."/>
      <w:lvlJc w:val="left"/>
      <w:pPr>
        <w:ind w:left="1440" w:hanging="72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01172"/>
    <w:multiLevelType w:val="hybridMultilevel"/>
    <w:tmpl w:val="B8F4F768"/>
    <w:lvl w:ilvl="0" w:tplc="57F277D6">
      <w:start w:val="1"/>
      <w:numFmt w:val="upperRoman"/>
      <w:lvlText w:val="%1."/>
      <w:lvlJc w:val="left"/>
      <w:pPr>
        <w:ind w:left="1440" w:hanging="72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619C0"/>
    <w:multiLevelType w:val="hybridMultilevel"/>
    <w:tmpl w:val="67A8397C"/>
    <w:lvl w:ilvl="0" w:tplc="14985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E434DA"/>
    <w:multiLevelType w:val="hybridMultilevel"/>
    <w:tmpl w:val="7D8869F4"/>
    <w:lvl w:ilvl="0" w:tplc="8EA4907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579DE"/>
    <w:multiLevelType w:val="hybridMultilevel"/>
    <w:tmpl w:val="CAA252AA"/>
    <w:lvl w:ilvl="0" w:tplc="DA742C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E2581B"/>
    <w:multiLevelType w:val="hybridMultilevel"/>
    <w:tmpl w:val="A48E864E"/>
    <w:lvl w:ilvl="0" w:tplc="69E63C52">
      <w:start w:val="3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208FE"/>
    <w:multiLevelType w:val="hybridMultilevel"/>
    <w:tmpl w:val="329AA94E"/>
    <w:lvl w:ilvl="0" w:tplc="5D5C16AE">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114A"/>
    <w:multiLevelType w:val="hybridMultilevel"/>
    <w:tmpl w:val="C05C00FE"/>
    <w:lvl w:ilvl="0" w:tplc="278A2B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097982"/>
    <w:multiLevelType w:val="hybridMultilevel"/>
    <w:tmpl w:val="6B68F2DA"/>
    <w:lvl w:ilvl="0" w:tplc="2B1412E8">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5598C"/>
    <w:multiLevelType w:val="hybridMultilevel"/>
    <w:tmpl w:val="3188B600"/>
    <w:lvl w:ilvl="0" w:tplc="E2F686D8">
      <w:start w:val="44"/>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D644B"/>
    <w:multiLevelType w:val="hybridMultilevel"/>
    <w:tmpl w:val="7DDCCA8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8FC7E27"/>
    <w:multiLevelType w:val="hybridMultilevel"/>
    <w:tmpl w:val="E7925992"/>
    <w:lvl w:ilvl="0" w:tplc="FFFFFFFF">
      <w:start w:val="45"/>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421274"/>
    <w:multiLevelType w:val="hybridMultilevel"/>
    <w:tmpl w:val="529C98F2"/>
    <w:lvl w:ilvl="0" w:tplc="562EA80E">
      <w:start w:val="4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56369"/>
    <w:multiLevelType w:val="hybridMultilevel"/>
    <w:tmpl w:val="CD76A1FC"/>
    <w:lvl w:ilvl="0" w:tplc="7950722E">
      <w:start w:val="4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A0022"/>
    <w:multiLevelType w:val="hybridMultilevel"/>
    <w:tmpl w:val="FE9C3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8757AD"/>
    <w:multiLevelType w:val="hybridMultilevel"/>
    <w:tmpl w:val="A8A2D242"/>
    <w:lvl w:ilvl="0" w:tplc="75DE4530">
      <w:start w:val="4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E53A9"/>
    <w:multiLevelType w:val="hybridMultilevel"/>
    <w:tmpl w:val="23EA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B19BA"/>
    <w:multiLevelType w:val="hybridMultilevel"/>
    <w:tmpl w:val="422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80933">
    <w:abstractNumId w:val="13"/>
  </w:num>
  <w:num w:numId="2" w16cid:durableId="1904098813">
    <w:abstractNumId w:val="4"/>
  </w:num>
  <w:num w:numId="3" w16cid:durableId="1795057601">
    <w:abstractNumId w:val="4"/>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1270823">
    <w:abstractNumId w:val="5"/>
  </w:num>
  <w:num w:numId="5" w16cid:durableId="605235934">
    <w:abstractNumId w:val="9"/>
  </w:num>
  <w:num w:numId="6" w16cid:durableId="657611841">
    <w:abstractNumId w:val="4"/>
    <w:lvlOverride w:ilvl="0">
      <w:startOverride w:val="6"/>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6497291">
    <w:abstractNumId w:val="15"/>
  </w:num>
  <w:num w:numId="8" w16cid:durableId="1768843446">
    <w:abstractNumId w:val="18"/>
  </w:num>
  <w:num w:numId="9" w16cid:durableId="1818689721">
    <w:abstractNumId w:val="2"/>
  </w:num>
  <w:num w:numId="10" w16cid:durableId="504907625">
    <w:abstractNumId w:val="16"/>
  </w:num>
  <w:num w:numId="11" w16cid:durableId="1464423585">
    <w:abstractNumId w:val="19"/>
  </w:num>
  <w:num w:numId="12" w16cid:durableId="593440815">
    <w:abstractNumId w:val="17"/>
  </w:num>
  <w:num w:numId="13" w16cid:durableId="148063144">
    <w:abstractNumId w:val="21"/>
  </w:num>
  <w:num w:numId="14" w16cid:durableId="453718553">
    <w:abstractNumId w:val="14"/>
  </w:num>
  <w:num w:numId="15" w16cid:durableId="2143695337">
    <w:abstractNumId w:val="4"/>
  </w:num>
  <w:num w:numId="16" w16cid:durableId="1663123464">
    <w:abstractNumId w:val="0"/>
  </w:num>
  <w:num w:numId="17" w16cid:durableId="1880893314">
    <w:abstractNumId w:val="11"/>
  </w:num>
  <w:num w:numId="18" w16cid:durableId="1099911784">
    <w:abstractNumId w:val="4"/>
    <w:lvlOverride w:ilvl="0">
      <w:startOverride w:val="6"/>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0489361">
    <w:abstractNumId w:val="12"/>
  </w:num>
  <w:num w:numId="20" w16cid:durableId="1546673862">
    <w:abstractNumId w:val="20"/>
  </w:num>
  <w:num w:numId="21" w16cid:durableId="271016426">
    <w:abstractNumId w:val="10"/>
  </w:num>
  <w:num w:numId="22" w16cid:durableId="416290141">
    <w:abstractNumId w:val="1"/>
  </w:num>
  <w:num w:numId="23" w16cid:durableId="1328443189">
    <w:abstractNumId w:val="8"/>
  </w:num>
  <w:num w:numId="24" w16cid:durableId="392775371">
    <w:abstractNumId w:val="23"/>
  </w:num>
  <w:num w:numId="25" w16cid:durableId="674964903">
    <w:abstractNumId w:val="3"/>
  </w:num>
  <w:num w:numId="26" w16cid:durableId="869344920">
    <w:abstractNumId w:val="6"/>
  </w:num>
  <w:num w:numId="27" w16cid:durableId="664482446">
    <w:abstractNumId w:val="7"/>
  </w:num>
  <w:num w:numId="28" w16cid:durableId="21154414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BF"/>
    <w:rsid w:val="0000101C"/>
    <w:rsid w:val="000011AA"/>
    <w:rsid w:val="000024FB"/>
    <w:rsid w:val="00003501"/>
    <w:rsid w:val="00004C94"/>
    <w:rsid w:val="000106C3"/>
    <w:rsid w:val="00012A4E"/>
    <w:rsid w:val="00013C24"/>
    <w:rsid w:val="00015AF3"/>
    <w:rsid w:val="000172E1"/>
    <w:rsid w:val="000223C0"/>
    <w:rsid w:val="00023BF5"/>
    <w:rsid w:val="000304BE"/>
    <w:rsid w:val="0003318C"/>
    <w:rsid w:val="0003611D"/>
    <w:rsid w:val="00042210"/>
    <w:rsid w:val="00042D6C"/>
    <w:rsid w:val="00050459"/>
    <w:rsid w:val="00051E62"/>
    <w:rsid w:val="0005272A"/>
    <w:rsid w:val="00056AAE"/>
    <w:rsid w:val="0005737E"/>
    <w:rsid w:val="00060A98"/>
    <w:rsid w:val="000610AD"/>
    <w:rsid w:val="000626AC"/>
    <w:rsid w:val="000668FF"/>
    <w:rsid w:val="000745FC"/>
    <w:rsid w:val="00075D62"/>
    <w:rsid w:val="00082108"/>
    <w:rsid w:val="00087142"/>
    <w:rsid w:val="00087FD2"/>
    <w:rsid w:val="00091882"/>
    <w:rsid w:val="00093985"/>
    <w:rsid w:val="00093BF9"/>
    <w:rsid w:val="000976B0"/>
    <w:rsid w:val="000A1A68"/>
    <w:rsid w:val="000B5D4C"/>
    <w:rsid w:val="000C0368"/>
    <w:rsid w:val="000C3C38"/>
    <w:rsid w:val="000C4A07"/>
    <w:rsid w:val="000C556C"/>
    <w:rsid w:val="000C7968"/>
    <w:rsid w:val="000D07A0"/>
    <w:rsid w:val="000D2A3E"/>
    <w:rsid w:val="000D311F"/>
    <w:rsid w:val="000E1F9E"/>
    <w:rsid w:val="000E30EB"/>
    <w:rsid w:val="000E479B"/>
    <w:rsid w:val="000E5C08"/>
    <w:rsid w:val="000E5CA2"/>
    <w:rsid w:val="000F6EF4"/>
    <w:rsid w:val="00100B55"/>
    <w:rsid w:val="00102146"/>
    <w:rsid w:val="00102DFD"/>
    <w:rsid w:val="0010644C"/>
    <w:rsid w:val="00107084"/>
    <w:rsid w:val="00110BBD"/>
    <w:rsid w:val="0011386A"/>
    <w:rsid w:val="00115DC6"/>
    <w:rsid w:val="0011724D"/>
    <w:rsid w:val="001219F5"/>
    <w:rsid w:val="0012310E"/>
    <w:rsid w:val="00124950"/>
    <w:rsid w:val="0012686F"/>
    <w:rsid w:val="00127524"/>
    <w:rsid w:val="00131379"/>
    <w:rsid w:val="00143204"/>
    <w:rsid w:val="00153C00"/>
    <w:rsid w:val="00153EBC"/>
    <w:rsid w:val="00162A10"/>
    <w:rsid w:val="00163750"/>
    <w:rsid w:val="00165F0A"/>
    <w:rsid w:val="0016659B"/>
    <w:rsid w:val="00170137"/>
    <w:rsid w:val="00172104"/>
    <w:rsid w:val="00172C9B"/>
    <w:rsid w:val="0018162E"/>
    <w:rsid w:val="00183AAC"/>
    <w:rsid w:val="00184B9F"/>
    <w:rsid w:val="00185D97"/>
    <w:rsid w:val="00195327"/>
    <w:rsid w:val="0019534C"/>
    <w:rsid w:val="00197256"/>
    <w:rsid w:val="0019773C"/>
    <w:rsid w:val="001A14BC"/>
    <w:rsid w:val="001A5A71"/>
    <w:rsid w:val="001B0D70"/>
    <w:rsid w:val="001B2A44"/>
    <w:rsid w:val="001B6DAD"/>
    <w:rsid w:val="001C02EA"/>
    <w:rsid w:val="001C0EE5"/>
    <w:rsid w:val="001C2394"/>
    <w:rsid w:val="001C7557"/>
    <w:rsid w:val="001D28FA"/>
    <w:rsid w:val="001D36EE"/>
    <w:rsid w:val="001D745A"/>
    <w:rsid w:val="001E3C77"/>
    <w:rsid w:val="001F3C01"/>
    <w:rsid w:val="001F4349"/>
    <w:rsid w:val="001F6725"/>
    <w:rsid w:val="002009A6"/>
    <w:rsid w:val="0020262B"/>
    <w:rsid w:val="00202E31"/>
    <w:rsid w:val="00203327"/>
    <w:rsid w:val="00205B7F"/>
    <w:rsid w:val="00205E3E"/>
    <w:rsid w:val="00207B15"/>
    <w:rsid w:val="00211085"/>
    <w:rsid w:val="0021581B"/>
    <w:rsid w:val="00217D0D"/>
    <w:rsid w:val="0022052E"/>
    <w:rsid w:val="002208C5"/>
    <w:rsid w:val="002213ED"/>
    <w:rsid w:val="002229A2"/>
    <w:rsid w:val="00224D14"/>
    <w:rsid w:val="002271DF"/>
    <w:rsid w:val="00232354"/>
    <w:rsid w:val="00232E41"/>
    <w:rsid w:val="002351D5"/>
    <w:rsid w:val="00237983"/>
    <w:rsid w:val="00247804"/>
    <w:rsid w:val="00250000"/>
    <w:rsid w:val="00250268"/>
    <w:rsid w:val="00251CCC"/>
    <w:rsid w:val="00251CF7"/>
    <w:rsid w:val="0025302F"/>
    <w:rsid w:val="00253D58"/>
    <w:rsid w:val="00275245"/>
    <w:rsid w:val="0027548E"/>
    <w:rsid w:val="0027743F"/>
    <w:rsid w:val="00283419"/>
    <w:rsid w:val="002843EB"/>
    <w:rsid w:val="00284B46"/>
    <w:rsid w:val="0028534B"/>
    <w:rsid w:val="00290A35"/>
    <w:rsid w:val="0029257A"/>
    <w:rsid w:val="0029258C"/>
    <w:rsid w:val="002973EC"/>
    <w:rsid w:val="002A4F54"/>
    <w:rsid w:val="002A7249"/>
    <w:rsid w:val="002B21EC"/>
    <w:rsid w:val="002C33F9"/>
    <w:rsid w:val="002D3345"/>
    <w:rsid w:val="002D42A2"/>
    <w:rsid w:val="002D5546"/>
    <w:rsid w:val="002D56AC"/>
    <w:rsid w:val="002D5B05"/>
    <w:rsid w:val="002D6004"/>
    <w:rsid w:val="002F418B"/>
    <w:rsid w:val="00302592"/>
    <w:rsid w:val="00307387"/>
    <w:rsid w:val="00316AF0"/>
    <w:rsid w:val="003171A7"/>
    <w:rsid w:val="003171AA"/>
    <w:rsid w:val="00321039"/>
    <w:rsid w:val="00327D27"/>
    <w:rsid w:val="0033248E"/>
    <w:rsid w:val="00335C2C"/>
    <w:rsid w:val="00340999"/>
    <w:rsid w:val="003409A0"/>
    <w:rsid w:val="00340EE0"/>
    <w:rsid w:val="00342E7C"/>
    <w:rsid w:val="00343935"/>
    <w:rsid w:val="00347A53"/>
    <w:rsid w:val="003572E2"/>
    <w:rsid w:val="0036113A"/>
    <w:rsid w:val="003621AF"/>
    <w:rsid w:val="00364572"/>
    <w:rsid w:val="003665D8"/>
    <w:rsid w:val="00367C68"/>
    <w:rsid w:val="00370515"/>
    <w:rsid w:val="00371B48"/>
    <w:rsid w:val="003730AC"/>
    <w:rsid w:val="00376E1C"/>
    <w:rsid w:val="0038005F"/>
    <w:rsid w:val="0038146F"/>
    <w:rsid w:val="00387343"/>
    <w:rsid w:val="0038777E"/>
    <w:rsid w:val="00392AB0"/>
    <w:rsid w:val="00395D8B"/>
    <w:rsid w:val="00396192"/>
    <w:rsid w:val="003967F3"/>
    <w:rsid w:val="003971BE"/>
    <w:rsid w:val="00397B3A"/>
    <w:rsid w:val="003A00DF"/>
    <w:rsid w:val="003A039E"/>
    <w:rsid w:val="003A3652"/>
    <w:rsid w:val="003A4A35"/>
    <w:rsid w:val="003A6A3C"/>
    <w:rsid w:val="003A6CA9"/>
    <w:rsid w:val="003B1C95"/>
    <w:rsid w:val="003C0938"/>
    <w:rsid w:val="003D21AA"/>
    <w:rsid w:val="003D27F9"/>
    <w:rsid w:val="003D314C"/>
    <w:rsid w:val="003E0EEF"/>
    <w:rsid w:val="003E247A"/>
    <w:rsid w:val="003E46C5"/>
    <w:rsid w:val="003E5876"/>
    <w:rsid w:val="003E5B0A"/>
    <w:rsid w:val="003F238B"/>
    <w:rsid w:val="003F60A5"/>
    <w:rsid w:val="003F6F15"/>
    <w:rsid w:val="003F7001"/>
    <w:rsid w:val="003F7970"/>
    <w:rsid w:val="0040228D"/>
    <w:rsid w:val="004065BB"/>
    <w:rsid w:val="00410677"/>
    <w:rsid w:val="004142BA"/>
    <w:rsid w:val="004162AC"/>
    <w:rsid w:val="00420C21"/>
    <w:rsid w:val="00421DFD"/>
    <w:rsid w:val="00422CA7"/>
    <w:rsid w:val="00423A95"/>
    <w:rsid w:val="00423F76"/>
    <w:rsid w:val="0042509B"/>
    <w:rsid w:val="00433588"/>
    <w:rsid w:val="00440021"/>
    <w:rsid w:val="00440AF7"/>
    <w:rsid w:val="0044118A"/>
    <w:rsid w:val="00441757"/>
    <w:rsid w:val="00441D98"/>
    <w:rsid w:val="004441F4"/>
    <w:rsid w:val="0044440D"/>
    <w:rsid w:val="00445F83"/>
    <w:rsid w:val="00450135"/>
    <w:rsid w:val="00450D4F"/>
    <w:rsid w:val="00454482"/>
    <w:rsid w:val="004579FF"/>
    <w:rsid w:val="004637DE"/>
    <w:rsid w:val="0046571C"/>
    <w:rsid w:val="00466314"/>
    <w:rsid w:val="00470A3A"/>
    <w:rsid w:val="00471BC8"/>
    <w:rsid w:val="004734BF"/>
    <w:rsid w:val="00476F38"/>
    <w:rsid w:val="004800D7"/>
    <w:rsid w:val="00482612"/>
    <w:rsid w:val="00483808"/>
    <w:rsid w:val="00485AE4"/>
    <w:rsid w:val="00486B19"/>
    <w:rsid w:val="00496DAE"/>
    <w:rsid w:val="004A1260"/>
    <w:rsid w:val="004A414E"/>
    <w:rsid w:val="004A4770"/>
    <w:rsid w:val="004A4BEC"/>
    <w:rsid w:val="004B1BC6"/>
    <w:rsid w:val="004B1CC2"/>
    <w:rsid w:val="004B2963"/>
    <w:rsid w:val="004B2FC8"/>
    <w:rsid w:val="004B48EF"/>
    <w:rsid w:val="004B4F71"/>
    <w:rsid w:val="004D0487"/>
    <w:rsid w:val="004E091C"/>
    <w:rsid w:val="004E1A39"/>
    <w:rsid w:val="004E4667"/>
    <w:rsid w:val="004E683D"/>
    <w:rsid w:val="004E76B2"/>
    <w:rsid w:val="004F21DC"/>
    <w:rsid w:val="004F377D"/>
    <w:rsid w:val="004F649A"/>
    <w:rsid w:val="004F754F"/>
    <w:rsid w:val="005055AE"/>
    <w:rsid w:val="005103D9"/>
    <w:rsid w:val="0051430A"/>
    <w:rsid w:val="00517D87"/>
    <w:rsid w:val="005202ED"/>
    <w:rsid w:val="00521EC5"/>
    <w:rsid w:val="00524775"/>
    <w:rsid w:val="005302C8"/>
    <w:rsid w:val="005334DC"/>
    <w:rsid w:val="00537A80"/>
    <w:rsid w:val="0054209A"/>
    <w:rsid w:val="00542523"/>
    <w:rsid w:val="0054539E"/>
    <w:rsid w:val="00546A70"/>
    <w:rsid w:val="005520E6"/>
    <w:rsid w:val="00556043"/>
    <w:rsid w:val="00562A15"/>
    <w:rsid w:val="0057086F"/>
    <w:rsid w:val="00571546"/>
    <w:rsid w:val="00572D51"/>
    <w:rsid w:val="00573FC3"/>
    <w:rsid w:val="00585ED9"/>
    <w:rsid w:val="00585FCF"/>
    <w:rsid w:val="00593310"/>
    <w:rsid w:val="005A3073"/>
    <w:rsid w:val="005B7DBA"/>
    <w:rsid w:val="005C1D9A"/>
    <w:rsid w:val="005C6F51"/>
    <w:rsid w:val="005D1B90"/>
    <w:rsid w:val="005E0109"/>
    <w:rsid w:val="005E2118"/>
    <w:rsid w:val="005F0780"/>
    <w:rsid w:val="005F549B"/>
    <w:rsid w:val="006007D2"/>
    <w:rsid w:val="00606443"/>
    <w:rsid w:val="00606762"/>
    <w:rsid w:val="00606BE1"/>
    <w:rsid w:val="00606C8D"/>
    <w:rsid w:val="00611B93"/>
    <w:rsid w:val="00612203"/>
    <w:rsid w:val="00614161"/>
    <w:rsid w:val="00620584"/>
    <w:rsid w:val="00620B36"/>
    <w:rsid w:val="0062596F"/>
    <w:rsid w:val="0063017A"/>
    <w:rsid w:val="00633AEF"/>
    <w:rsid w:val="00635F94"/>
    <w:rsid w:val="00642F73"/>
    <w:rsid w:val="00645421"/>
    <w:rsid w:val="00646C3A"/>
    <w:rsid w:val="00647689"/>
    <w:rsid w:val="00647A98"/>
    <w:rsid w:val="0065056B"/>
    <w:rsid w:val="006568AE"/>
    <w:rsid w:val="00666A8A"/>
    <w:rsid w:val="0067068A"/>
    <w:rsid w:val="0067176B"/>
    <w:rsid w:val="006720AE"/>
    <w:rsid w:val="00673575"/>
    <w:rsid w:val="00680913"/>
    <w:rsid w:val="00683741"/>
    <w:rsid w:val="00685915"/>
    <w:rsid w:val="00685FB8"/>
    <w:rsid w:val="006870F6"/>
    <w:rsid w:val="006929B3"/>
    <w:rsid w:val="0069359F"/>
    <w:rsid w:val="006A47E3"/>
    <w:rsid w:val="006A572E"/>
    <w:rsid w:val="006B11F4"/>
    <w:rsid w:val="006B16B3"/>
    <w:rsid w:val="006B22B6"/>
    <w:rsid w:val="006B3998"/>
    <w:rsid w:val="006C377D"/>
    <w:rsid w:val="006C4303"/>
    <w:rsid w:val="006C7392"/>
    <w:rsid w:val="006D0F40"/>
    <w:rsid w:val="006D233F"/>
    <w:rsid w:val="006D710F"/>
    <w:rsid w:val="006D7D6C"/>
    <w:rsid w:val="006E077E"/>
    <w:rsid w:val="006E472B"/>
    <w:rsid w:val="006E50E9"/>
    <w:rsid w:val="006E67C0"/>
    <w:rsid w:val="006E7F81"/>
    <w:rsid w:val="006F4619"/>
    <w:rsid w:val="007020A6"/>
    <w:rsid w:val="007058EF"/>
    <w:rsid w:val="0071112D"/>
    <w:rsid w:val="00711EBC"/>
    <w:rsid w:val="00717108"/>
    <w:rsid w:val="00734DD0"/>
    <w:rsid w:val="00741099"/>
    <w:rsid w:val="00743748"/>
    <w:rsid w:val="00744B5D"/>
    <w:rsid w:val="0074503A"/>
    <w:rsid w:val="0074555B"/>
    <w:rsid w:val="0074673E"/>
    <w:rsid w:val="00751728"/>
    <w:rsid w:val="00751A2A"/>
    <w:rsid w:val="00751BC6"/>
    <w:rsid w:val="00751D1C"/>
    <w:rsid w:val="00751E0B"/>
    <w:rsid w:val="0075450B"/>
    <w:rsid w:val="00756075"/>
    <w:rsid w:val="00761215"/>
    <w:rsid w:val="00773B25"/>
    <w:rsid w:val="00774BAF"/>
    <w:rsid w:val="00781A59"/>
    <w:rsid w:val="00782DB5"/>
    <w:rsid w:val="00784818"/>
    <w:rsid w:val="00786EC4"/>
    <w:rsid w:val="0078711D"/>
    <w:rsid w:val="00790102"/>
    <w:rsid w:val="00796F9B"/>
    <w:rsid w:val="007A3EE7"/>
    <w:rsid w:val="007A6A95"/>
    <w:rsid w:val="007A6F9E"/>
    <w:rsid w:val="007B12AB"/>
    <w:rsid w:val="007C046C"/>
    <w:rsid w:val="007C04CA"/>
    <w:rsid w:val="007C12CD"/>
    <w:rsid w:val="007C2F60"/>
    <w:rsid w:val="007C4A40"/>
    <w:rsid w:val="007D49F4"/>
    <w:rsid w:val="007D6631"/>
    <w:rsid w:val="007D6BFA"/>
    <w:rsid w:val="007E07FB"/>
    <w:rsid w:val="007E4A1C"/>
    <w:rsid w:val="007E6EB3"/>
    <w:rsid w:val="007E792F"/>
    <w:rsid w:val="007E7ED6"/>
    <w:rsid w:val="007E7F46"/>
    <w:rsid w:val="007F3067"/>
    <w:rsid w:val="00802EB5"/>
    <w:rsid w:val="00803002"/>
    <w:rsid w:val="00810178"/>
    <w:rsid w:val="00812784"/>
    <w:rsid w:val="00815148"/>
    <w:rsid w:val="0082071D"/>
    <w:rsid w:val="008217B4"/>
    <w:rsid w:val="00823644"/>
    <w:rsid w:val="008256AE"/>
    <w:rsid w:val="00830550"/>
    <w:rsid w:val="00830CE5"/>
    <w:rsid w:val="00831C58"/>
    <w:rsid w:val="0083250C"/>
    <w:rsid w:val="00833BAF"/>
    <w:rsid w:val="00840223"/>
    <w:rsid w:val="00842DB9"/>
    <w:rsid w:val="00845A3D"/>
    <w:rsid w:val="0085429E"/>
    <w:rsid w:val="00854AC8"/>
    <w:rsid w:val="008567E3"/>
    <w:rsid w:val="00861318"/>
    <w:rsid w:val="008626DF"/>
    <w:rsid w:val="00862D50"/>
    <w:rsid w:val="0086417B"/>
    <w:rsid w:val="00864CB4"/>
    <w:rsid w:val="008652F8"/>
    <w:rsid w:val="008669F2"/>
    <w:rsid w:val="00867AF0"/>
    <w:rsid w:val="00870097"/>
    <w:rsid w:val="008740A6"/>
    <w:rsid w:val="0087415F"/>
    <w:rsid w:val="008776BB"/>
    <w:rsid w:val="00880293"/>
    <w:rsid w:val="00881B54"/>
    <w:rsid w:val="00883523"/>
    <w:rsid w:val="0088772E"/>
    <w:rsid w:val="00897943"/>
    <w:rsid w:val="008A19A7"/>
    <w:rsid w:val="008B1E9C"/>
    <w:rsid w:val="008B233F"/>
    <w:rsid w:val="008B457B"/>
    <w:rsid w:val="008B639C"/>
    <w:rsid w:val="008B733A"/>
    <w:rsid w:val="008C120A"/>
    <w:rsid w:val="008C1A57"/>
    <w:rsid w:val="008C706B"/>
    <w:rsid w:val="008D10BE"/>
    <w:rsid w:val="008E1FC6"/>
    <w:rsid w:val="008F3E19"/>
    <w:rsid w:val="008F4696"/>
    <w:rsid w:val="008F4CF6"/>
    <w:rsid w:val="008F6D10"/>
    <w:rsid w:val="008F7256"/>
    <w:rsid w:val="00903958"/>
    <w:rsid w:val="00910996"/>
    <w:rsid w:val="009117D6"/>
    <w:rsid w:val="00912455"/>
    <w:rsid w:val="00913E75"/>
    <w:rsid w:val="009149E4"/>
    <w:rsid w:val="0092124C"/>
    <w:rsid w:val="009245F4"/>
    <w:rsid w:val="00925E82"/>
    <w:rsid w:val="00927CBC"/>
    <w:rsid w:val="009346EE"/>
    <w:rsid w:val="00935EED"/>
    <w:rsid w:val="009428ED"/>
    <w:rsid w:val="009440E6"/>
    <w:rsid w:val="00945D1A"/>
    <w:rsid w:val="009502CF"/>
    <w:rsid w:val="0095150B"/>
    <w:rsid w:val="00952199"/>
    <w:rsid w:val="009559CC"/>
    <w:rsid w:val="00956728"/>
    <w:rsid w:val="00956DC8"/>
    <w:rsid w:val="00957F2F"/>
    <w:rsid w:val="00960795"/>
    <w:rsid w:val="00967D99"/>
    <w:rsid w:val="00973A6B"/>
    <w:rsid w:val="00976BF0"/>
    <w:rsid w:val="00983A0B"/>
    <w:rsid w:val="009859CB"/>
    <w:rsid w:val="0098735E"/>
    <w:rsid w:val="00987AD6"/>
    <w:rsid w:val="00990807"/>
    <w:rsid w:val="0099179B"/>
    <w:rsid w:val="00994160"/>
    <w:rsid w:val="009A333F"/>
    <w:rsid w:val="009A571B"/>
    <w:rsid w:val="009A5DBE"/>
    <w:rsid w:val="009A73CD"/>
    <w:rsid w:val="009B0487"/>
    <w:rsid w:val="009B7F06"/>
    <w:rsid w:val="009C5CFD"/>
    <w:rsid w:val="009C7772"/>
    <w:rsid w:val="009D155D"/>
    <w:rsid w:val="009D7E27"/>
    <w:rsid w:val="009E0DE4"/>
    <w:rsid w:val="009E5F9C"/>
    <w:rsid w:val="009F1444"/>
    <w:rsid w:val="009F3BAF"/>
    <w:rsid w:val="00A0529C"/>
    <w:rsid w:val="00A07F27"/>
    <w:rsid w:val="00A15925"/>
    <w:rsid w:val="00A16ED0"/>
    <w:rsid w:val="00A170B9"/>
    <w:rsid w:val="00A204CC"/>
    <w:rsid w:val="00A209EE"/>
    <w:rsid w:val="00A247F6"/>
    <w:rsid w:val="00A2764A"/>
    <w:rsid w:val="00A40A7F"/>
    <w:rsid w:val="00A433AB"/>
    <w:rsid w:val="00A5337C"/>
    <w:rsid w:val="00A5481F"/>
    <w:rsid w:val="00A6029F"/>
    <w:rsid w:val="00A64A6C"/>
    <w:rsid w:val="00A6716E"/>
    <w:rsid w:val="00A6786C"/>
    <w:rsid w:val="00A730AD"/>
    <w:rsid w:val="00A758FD"/>
    <w:rsid w:val="00A769FD"/>
    <w:rsid w:val="00A81BC5"/>
    <w:rsid w:val="00A83D54"/>
    <w:rsid w:val="00A83FA3"/>
    <w:rsid w:val="00A852F3"/>
    <w:rsid w:val="00A92A76"/>
    <w:rsid w:val="00A92D9D"/>
    <w:rsid w:val="00A93075"/>
    <w:rsid w:val="00AA0686"/>
    <w:rsid w:val="00AA3043"/>
    <w:rsid w:val="00AA3569"/>
    <w:rsid w:val="00AA3ED3"/>
    <w:rsid w:val="00AA6CF8"/>
    <w:rsid w:val="00AB4C0D"/>
    <w:rsid w:val="00AB6C81"/>
    <w:rsid w:val="00AC6419"/>
    <w:rsid w:val="00AE0340"/>
    <w:rsid w:val="00AE0385"/>
    <w:rsid w:val="00AE19F0"/>
    <w:rsid w:val="00AE3267"/>
    <w:rsid w:val="00AE4278"/>
    <w:rsid w:val="00AE64BB"/>
    <w:rsid w:val="00AE677A"/>
    <w:rsid w:val="00AF2102"/>
    <w:rsid w:val="00AF2BBD"/>
    <w:rsid w:val="00AF4693"/>
    <w:rsid w:val="00AF5EED"/>
    <w:rsid w:val="00AF7781"/>
    <w:rsid w:val="00B035D2"/>
    <w:rsid w:val="00B1385F"/>
    <w:rsid w:val="00B14451"/>
    <w:rsid w:val="00B15F2A"/>
    <w:rsid w:val="00B201EC"/>
    <w:rsid w:val="00B221AF"/>
    <w:rsid w:val="00B22A01"/>
    <w:rsid w:val="00B27194"/>
    <w:rsid w:val="00B27380"/>
    <w:rsid w:val="00B3029C"/>
    <w:rsid w:val="00B31681"/>
    <w:rsid w:val="00B31E7D"/>
    <w:rsid w:val="00B361E0"/>
    <w:rsid w:val="00B44989"/>
    <w:rsid w:val="00B52797"/>
    <w:rsid w:val="00B52F26"/>
    <w:rsid w:val="00B5556D"/>
    <w:rsid w:val="00B5626B"/>
    <w:rsid w:val="00B569E2"/>
    <w:rsid w:val="00B57E37"/>
    <w:rsid w:val="00B60CF8"/>
    <w:rsid w:val="00B615C4"/>
    <w:rsid w:val="00B633C9"/>
    <w:rsid w:val="00B707A1"/>
    <w:rsid w:val="00B71C51"/>
    <w:rsid w:val="00B7452B"/>
    <w:rsid w:val="00B75B1A"/>
    <w:rsid w:val="00B8533F"/>
    <w:rsid w:val="00B86DCD"/>
    <w:rsid w:val="00B90914"/>
    <w:rsid w:val="00B949B0"/>
    <w:rsid w:val="00B94C3F"/>
    <w:rsid w:val="00BA038F"/>
    <w:rsid w:val="00BA03AE"/>
    <w:rsid w:val="00BA4C06"/>
    <w:rsid w:val="00BA502B"/>
    <w:rsid w:val="00BB24AA"/>
    <w:rsid w:val="00BB6912"/>
    <w:rsid w:val="00BC2B4C"/>
    <w:rsid w:val="00BD1C9A"/>
    <w:rsid w:val="00BD6D50"/>
    <w:rsid w:val="00BE6323"/>
    <w:rsid w:val="00BF2AF0"/>
    <w:rsid w:val="00BF664F"/>
    <w:rsid w:val="00BF6FE2"/>
    <w:rsid w:val="00C0085A"/>
    <w:rsid w:val="00C00A84"/>
    <w:rsid w:val="00C00F75"/>
    <w:rsid w:val="00C016B8"/>
    <w:rsid w:val="00C03AA1"/>
    <w:rsid w:val="00C03BBD"/>
    <w:rsid w:val="00C07F0E"/>
    <w:rsid w:val="00C10D20"/>
    <w:rsid w:val="00C13229"/>
    <w:rsid w:val="00C15B55"/>
    <w:rsid w:val="00C20DE2"/>
    <w:rsid w:val="00C2703B"/>
    <w:rsid w:val="00C308BA"/>
    <w:rsid w:val="00C33A7B"/>
    <w:rsid w:val="00C40313"/>
    <w:rsid w:val="00C43D8A"/>
    <w:rsid w:val="00C5379F"/>
    <w:rsid w:val="00C562D0"/>
    <w:rsid w:val="00C61C00"/>
    <w:rsid w:val="00C62916"/>
    <w:rsid w:val="00C65815"/>
    <w:rsid w:val="00C70743"/>
    <w:rsid w:val="00C719F0"/>
    <w:rsid w:val="00C73111"/>
    <w:rsid w:val="00C749B0"/>
    <w:rsid w:val="00C81A89"/>
    <w:rsid w:val="00C863A3"/>
    <w:rsid w:val="00C95B2C"/>
    <w:rsid w:val="00C961E2"/>
    <w:rsid w:val="00CA0B31"/>
    <w:rsid w:val="00CA0FB5"/>
    <w:rsid w:val="00CA3243"/>
    <w:rsid w:val="00CA5198"/>
    <w:rsid w:val="00CB0B7D"/>
    <w:rsid w:val="00CB1C46"/>
    <w:rsid w:val="00CB3130"/>
    <w:rsid w:val="00CB54F0"/>
    <w:rsid w:val="00CB67F3"/>
    <w:rsid w:val="00CC5466"/>
    <w:rsid w:val="00CC564D"/>
    <w:rsid w:val="00CD0312"/>
    <w:rsid w:val="00CD754D"/>
    <w:rsid w:val="00CE4A5D"/>
    <w:rsid w:val="00CE67DC"/>
    <w:rsid w:val="00CE6F52"/>
    <w:rsid w:val="00CF0E5F"/>
    <w:rsid w:val="00CF213C"/>
    <w:rsid w:val="00CF2488"/>
    <w:rsid w:val="00CF3343"/>
    <w:rsid w:val="00CF7215"/>
    <w:rsid w:val="00D0355C"/>
    <w:rsid w:val="00D045C9"/>
    <w:rsid w:val="00D054DF"/>
    <w:rsid w:val="00D07215"/>
    <w:rsid w:val="00D136EF"/>
    <w:rsid w:val="00D155CF"/>
    <w:rsid w:val="00D2222A"/>
    <w:rsid w:val="00D22396"/>
    <w:rsid w:val="00D2529C"/>
    <w:rsid w:val="00D32983"/>
    <w:rsid w:val="00D3335D"/>
    <w:rsid w:val="00D33BA1"/>
    <w:rsid w:val="00D37A62"/>
    <w:rsid w:val="00D412ED"/>
    <w:rsid w:val="00D4438E"/>
    <w:rsid w:val="00D443A7"/>
    <w:rsid w:val="00D451C5"/>
    <w:rsid w:val="00D45E51"/>
    <w:rsid w:val="00D46160"/>
    <w:rsid w:val="00D464A8"/>
    <w:rsid w:val="00D505B3"/>
    <w:rsid w:val="00D50799"/>
    <w:rsid w:val="00D54595"/>
    <w:rsid w:val="00D549B0"/>
    <w:rsid w:val="00D62654"/>
    <w:rsid w:val="00D6495C"/>
    <w:rsid w:val="00D830F2"/>
    <w:rsid w:val="00D83706"/>
    <w:rsid w:val="00D8453D"/>
    <w:rsid w:val="00D857C6"/>
    <w:rsid w:val="00D85AFC"/>
    <w:rsid w:val="00D85B93"/>
    <w:rsid w:val="00D86C83"/>
    <w:rsid w:val="00D87BE3"/>
    <w:rsid w:val="00D91423"/>
    <w:rsid w:val="00D914C2"/>
    <w:rsid w:val="00D93264"/>
    <w:rsid w:val="00DA2056"/>
    <w:rsid w:val="00DB05F4"/>
    <w:rsid w:val="00DB7113"/>
    <w:rsid w:val="00DB7924"/>
    <w:rsid w:val="00DC0D94"/>
    <w:rsid w:val="00DC102D"/>
    <w:rsid w:val="00DC2221"/>
    <w:rsid w:val="00DC39FF"/>
    <w:rsid w:val="00DC712F"/>
    <w:rsid w:val="00DD3F2B"/>
    <w:rsid w:val="00DE3E77"/>
    <w:rsid w:val="00DE6D22"/>
    <w:rsid w:val="00DE7793"/>
    <w:rsid w:val="00DF23AF"/>
    <w:rsid w:val="00E0152C"/>
    <w:rsid w:val="00E02088"/>
    <w:rsid w:val="00E03921"/>
    <w:rsid w:val="00E059F6"/>
    <w:rsid w:val="00E0687A"/>
    <w:rsid w:val="00E07E70"/>
    <w:rsid w:val="00E10262"/>
    <w:rsid w:val="00E11933"/>
    <w:rsid w:val="00E133F5"/>
    <w:rsid w:val="00E13F02"/>
    <w:rsid w:val="00E15FF8"/>
    <w:rsid w:val="00E16C04"/>
    <w:rsid w:val="00E173C4"/>
    <w:rsid w:val="00E17CDC"/>
    <w:rsid w:val="00E23A7D"/>
    <w:rsid w:val="00E2636C"/>
    <w:rsid w:val="00E32294"/>
    <w:rsid w:val="00E35F1E"/>
    <w:rsid w:val="00E3624D"/>
    <w:rsid w:val="00E3775C"/>
    <w:rsid w:val="00E37B53"/>
    <w:rsid w:val="00E404E9"/>
    <w:rsid w:val="00E40B8F"/>
    <w:rsid w:val="00E435C8"/>
    <w:rsid w:val="00E43A40"/>
    <w:rsid w:val="00E43F3B"/>
    <w:rsid w:val="00E4456F"/>
    <w:rsid w:val="00E46A24"/>
    <w:rsid w:val="00E46F6A"/>
    <w:rsid w:val="00E472A8"/>
    <w:rsid w:val="00E47300"/>
    <w:rsid w:val="00E53D57"/>
    <w:rsid w:val="00E55681"/>
    <w:rsid w:val="00E55C06"/>
    <w:rsid w:val="00E6021A"/>
    <w:rsid w:val="00E606F2"/>
    <w:rsid w:val="00E628C8"/>
    <w:rsid w:val="00E637F4"/>
    <w:rsid w:val="00E65F05"/>
    <w:rsid w:val="00E66615"/>
    <w:rsid w:val="00E678B9"/>
    <w:rsid w:val="00E712C4"/>
    <w:rsid w:val="00E72DF1"/>
    <w:rsid w:val="00E74440"/>
    <w:rsid w:val="00E74FEE"/>
    <w:rsid w:val="00E760D9"/>
    <w:rsid w:val="00E76618"/>
    <w:rsid w:val="00E828AD"/>
    <w:rsid w:val="00E836D0"/>
    <w:rsid w:val="00E85017"/>
    <w:rsid w:val="00E85437"/>
    <w:rsid w:val="00E8569C"/>
    <w:rsid w:val="00E96222"/>
    <w:rsid w:val="00EB05D7"/>
    <w:rsid w:val="00EB3B43"/>
    <w:rsid w:val="00EB54A3"/>
    <w:rsid w:val="00EC060D"/>
    <w:rsid w:val="00EC1329"/>
    <w:rsid w:val="00ED2AC9"/>
    <w:rsid w:val="00ED4EF1"/>
    <w:rsid w:val="00ED7680"/>
    <w:rsid w:val="00EE1572"/>
    <w:rsid w:val="00EF3CA6"/>
    <w:rsid w:val="00F13C90"/>
    <w:rsid w:val="00F16ED3"/>
    <w:rsid w:val="00F2239A"/>
    <w:rsid w:val="00F230E2"/>
    <w:rsid w:val="00F27E34"/>
    <w:rsid w:val="00F34867"/>
    <w:rsid w:val="00F35400"/>
    <w:rsid w:val="00F3552F"/>
    <w:rsid w:val="00F36CA0"/>
    <w:rsid w:val="00F41708"/>
    <w:rsid w:val="00F50ED1"/>
    <w:rsid w:val="00F524F8"/>
    <w:rsid w:val="00F53FBE"/>
    <w:rsid w:val="00F571CB"/>
    <w:rsid w:val="00F6557C"/>
    <w:rsid w:val="00F72660"/>
    <w:rsid w:val="00F72F8E"/>
    <w:rsid w:val="00F75A98"/>
    <w:rsid w:val="00F81481"/>
    <w:rsid w:val="00F860EA"/>
    <w:rsid w:val="00F90D9D"/>
    <w:rsid w:val="00F949BE"/>
    <w:rsid w:val="00FA0C0B"/>
    <w:rsid w:val="00FA0FC5"/>
    <w:rsid w:val="00FA1CD7"/>
    <w:rsid w:val="00FA770C"/>
    <w:rsid w:val="00FA7EB0"/>
    <w:rsid w:val="00FB3644"/>
    <w:rsid w:val="00FB4B7F"/>
    <w:rsid w:val="00FB5B15"/>
    <w:rsid w:val="00FB6D0D"/>
    <w:rsid w:val="00FB75AF"/>
    <w:rsid w:val="00FD08BF"/>
    <w:rsid w:val="00FD2D18"/>
    <w:rsid w:val="00FD2F0E"/>
    <w:rsid w:val="00FD32BD"/>
    <w:rsid w:val="00FD468A"/>
    <w:rsid w:val="00FD52E1"/>
    <w:rsid w:val="00FD5CA0"/>
    <w:rsid w:val="00FD720A"/>
    <w:rsid w:val="00FE1767"/>
    <w:rsid w:val="00FE226F"/>
    <w:rsid w:val="00FE733A"/>
    <w:rsid w:val="00FF2B43"/>
    <w:rsid w:val="00FF4910"/>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307C5A"/>
  <w15:chartTrackingRefBased/>
  <w15:docId w15:val="{48453533-3D72-402A-9F13-10E5E599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D3"/>
  </w:style>
  <w:style w:type="paragraph" w:styleId="Heading1">
    <w:name w:val="heading 1"/>
    <w:basedOn w:val="Normal"/>
    <w:next w:val="Normal"/>
    <w:link w:val="Heading1Char"/>
    <w:uiPriority w:val="9"/>
    <w:qFormat/>
    <w:rsid w:val="00082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2E"/>
    <w:pPr>
      <w:ind w:left="720"/>
      <w:contextualSpacing/>
    </w:pPr>
  </w:style>
  <w:style w:type="paragraph" w:styleId="BodyText">
    <w:name w:val="Body Text"/>
    <w:basedOn w:val="Normal"/>
    <w:link w:val="BodyTextChar"/>
    <w:uiPriority w:val="99"/>
    <w:unhideWhenUsed/>
    <w:rsid w:val="004E1A39"/>
    <w:pPr>
      <w:widowControl w:val="0"/>
      <w:spacing w:after="240" w:line="276" w:lineRule="auto"/>
      <w:ind w:firstLine="720"/>
    </w:pPr>
    <w:rPr>
      <w:rFonts w:ascii="Calibri" w:eastAsia="Times New Roman" w:hAnsi="Calibri" w:cs="Times New Roman"/>
      <w:lang w:bidi="en-US"/>
    </w:rPr>
  </w:style>
  <w:style w:type="character" w:customStyle="1" w:styleId="BodyTextChar">
    <w:name w:val="Body Text Char"/>
    <w:basedOn w:val="DefaultParagraphFont"/>
    <w:link w:val="BodyText"/>
    <w:uiPriority w:val="99"/>
    <w:rsid w:val="004E1A39"/>
    <w:rPr>
      <w:rFonts w:ascii="Calibri" w:eastAsia="Times New Roman" w:hAnsi="Calibri" w:cs="Times New Roman"/>
      <w:lang w:bidi="en-US"/>
    </w:rPr>
  </w:style>
  <w:style w:type="paragraph" w:customStyle="1" w:styleId="HCOMPLAINTL1">
    <w:name w:val="HCOMPLAINT_L1"/>
    <w:basedOn w:val="Normal"/>
    <w:next w:val="BodyText"/>
    <w:uiPriority w:val="99"/>
    <w:rsid w:val="004E1A39"/>
    <w:pPr>
      <w:keepNext/>
      <w:numPr>
        <w:numId w:val="15"/>
      </w:numPr>
      <w:spacing w:before="240" w:after="240" w:line="276" w:lineRule="auto"/>
      <w:outlineLvl w:val="0"/>
    </w:pPr>
    <w:rPr>
      <w:rFonts w:ascii="Calibri" w:eastAsia="Times New Roman" w:hAnsi="Calibri" w:cs="Times New Roman"/>
      <w:b/>
      <w:caps/>
      <w:szCs w:val="20"/>
      <w:lang w:bidi="en-US"/>
    </w:rPr>
  </w:style>
  <w:style w:type="paragraph" w:customStyle="1" w:styleId="HCOMPLAINTL2">
    <w:name w:val="HCOMPLAINT_L2"/>
    <w:basedOn w:val="HCOMPLAINTL1"/>
    <w:next w:val="BodyText"/>
    <w:uiPriority w:val="99"/>
    <w:rsid w:val="004E1A39"/>
    <w:pPr>
      <w:keepNext w:val="0"/>
      <w:numPr>
        <w:ilvl w:val="1"/>
      </w:numPr>
      <w:spacing w:line="480" w:lineRule="auto"/>
      <w:jc w:val="both"/>
      <w:outlineLvl w:val="1"/>
    </w:pPr>
    <w:rPr>
      <w:b w:val="0"/>
      <w:caps w:val="0"/>
    </w:rPr>
  </w:style>
  <w:style w:type="paragraph" w:customStyle="1" w:styleId="HCOMPLAINTL3">
    <w:name w:val="HCOMPLAINT_L3"/>
    <w:basedOn w:val="HCOMPLAINTL2"/>
    <w:next w:val="BodyText"/>
    <w:uiPriority w:val="99"/>
    <w:rsid w:val="004E1A39"/>
    <w:pPr>
      <w:keepNext/>
      <w:numPr>
        <w:ilvl w:val="2"/>
      </w:numPr>
      <w:outlineLvl w:val="2"/>
    </w:pPr>
  </w:style>
  <w:style w:type="paragraph" w:customStyle="1" w:styleId="HCOMPLAINTL4">
    <w:name w:val="HCOMPLAINT_L4"/>
    <w:basedOn w:val="HCOMPLAINTL3"/>
    <w:next w:val="BodyText"/>
    <w:uiPriority w:val="99"/>
    <w:rsid w:val="004E1A39"/>
    <w:pPr>
      <w:numPr>
        <w:ilvl w:val="3"/>
      </w:numPr>
      <w:spacing w:line="240" w:lineRule="auto"/>
      <w:jc w:val="center"/>
      <w:outlineLvl w:val="3"/>
    </w:pPr>
    <w:rPr>
      <w:b/>
      <w:caps/>
    </w:rPr>
  </w:style>
  <w:style w:type="paragraph" w:customStyle="1" w:styleId="HCOMPLAINTL5">
    <w:name w:val="HCOMPLAINT_L5"/>
    <w:basedOn w:val="HCOMPLAINTL4"/>
    <w:next w:val="BodyText"/>
    <w:uiPriority w:val="99"/>
    <w:rsid w:val="004E1A39"/>
    <w:pPr>
      <w:keepNext w:val="0"/>
      <w:numPr>
        <w:ilvl w:val="4"/>
      </w:numPr>
      <w:spacing w:line="480" w:lineRule="auto"/>
      <w:jc w:val="both"/>
      <w:outlineLvl w:val="4"/>
    </w:pPr>
    <w:rPr>
      <w:b w:val="0"/>
      <w:caps w:val="0"/>
    </w:rPr>
  </w:style>
  <w:style w:type="paragraph" w:customStyle="1" w:styleId="HCOMPLAINTL6">
    <w:name w:val="HCOMPLAINT_L6"/>
    <w:basedOn w:val="HCOMPLAINTL5"/>
    <w:next w:val="BodyText"/>
    <w:uiPriority w:val="99"/>
    <w:rsid w:val="004E1A39"/>
    <w:pPr>
      <w:keepNext/>
      <w:keepLines/>
      <w:widowControl w:val="0"/>
      <w:numPr>
        <w:ilvl w:val="5"/>
      </w:numPr>
      <w:spacing w:before="0" w:after="120" w:line="240" w:lineRule="auto"/>
      <w:outlineLvl w:val="5"/>
    </w:pPr>
  </w:style>
  <w:style w:type="paragraph" w:customStyle="1" w:styleId="HCOMPLAINTL7">
    <w:name w:val="HCOMPLAINT_L7"/>
    <w:basedOn w:val="HCOMPLAINTL6"/>
    <w:next w:val="BodyText"/>
    <w:uiPriority w:val="99"/>
    <w:rsid w:val="004E1A39"/>
    <w:pPr>
      <w:keepLines w:val="0"/>
      <w:widowControl/>
      <w:numPr>
        <w:ilvl w:val="6"/>
      </w:numPr>
      <w:spacing w:before="240" w:after="240"/>
      <w:jc w:val="center"/>
      <w:outlineLvl w:val="6"/>
    </w:pPr>
    <w:rPr>
      <w:b/>
      <w:caps/>
    </w:rPr>
  </w:style>
  <w:style w:type="paragraph" w:customStyle="1" w:styleId="HCOMPLAINTL8">
    <w:name w:val="HCOMPLAINT_L8"/>
    <w:basedOn w:val="HCOMPLAINTL7"/>
    <w:next w:val="BodyText"/>
    <w:uiPriority w:val="99"/>
    <w:rsid w:val="004E1A39"/>
    <w:pPr>
      <w:keepNext w:val="0"/>
      <w:numPr>
        <w:ilvl w:val="7"/>
      </w:numPr>
      <w:jc w:val="both"/>
      <w:outlineLvl w:val="7"/>
    </w:pPr>
    <w:rPr>
      <w:b w:val="0"/>
      <w:caps w:val="0"/>
    </w:rPr>
  </w:style>
  <w:style w:type="character" w:styleId="Hyperlink">
    <w:name w:val="Hyperlink"/>
    <w:uiPriority w:val="99"/>
    <w:unhideWhenUsed/>
    <w:rsid w:val="001F3C01"/>
    <w:rPr>
      <w:color w:val="0000FF"/>
      <w:u w:val="single"/>
    </w:rPr>
  </w:style>
  <w:style w:type="paragraph" w:styleId="NormalWeb">
    <w:name w:val="Normal (Web)"/>
    <w:basedOn w:val="Normal"/>
    <w:uiPriority w:val="99"/>
    <w:unhideWhenUsed/>
    <w:rsid w:val="001F3C01"/>
    <w:pPr>
      <w:spacing w:before="100" w:beforeAutospacing="1" w:after="100" w:afterAutospacing="1" w:line="480" w:lineRule="auto"/>
      <w:ind w:firstLine="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75"/>
  </w:style>
  <w:style w:type="paragraph" w:styleId="Footer">
    <w:name w:val="footer"/>
    <w:basedOn w:val="Normal"/>
    <w:link w:val="FooterChar"/>
    <w:uiPriority w:val="99"/>
    <w:unhideWhenUsed/>
    <w:rsid w:val="0075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75"/>
  </w:style>
  <w:style w:type="paragraph" w:styleId="FootnoteText">
    <w:name w:val="footnote text"/>
    <w:basedOn w:val="Normal"/>
    <w:link w:val="FootnoteTextChar"/>
    <w:uiPriority w:val="99"/>
    <w:semiHidden/>
    <w:unhideWhenUsed/>
    <w:rsid w:val="00423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F76"/>
    <w:rPr>
      <w:sz w:val="20"/>
      <w:szCs w:val="20"/>
    </w:rPr>
  </w:style>
  <w:style w:type="character" w:styleId="FootnoteReference">
    <w:name w:val="footnote reference"/>
    <w:uiPriority w:val="99"/>
    <w:semiHidden/>
    <w:rsid w:val="00AA3ED3"/>
    <w:rPr>
      <w:rFonts w:ascii="Times New Roman" w:hAnsi="Times New Roman"/>
      <w:sz w:val="20"/>
    </w:rPr>
  </w:style>
  <w:style w:type="paragraph" w:customStyle="1" w:styleId="FootnoteTextMore">
    <w:name w:val="Footnote TextMore"/>
    <w:basedOn w:val="Normal"/>
    <w:autoRedefine/>
    <w:rsid w:val="004162AC"/>
    <w:pPr>
      <w:widowControl w:val="0"/>
      <w:autoSpaceDE w:val="0"/>
      <w:autoSpaceDN w:val="0"/>
      <w:adjustRightInd w:val="0"/>
      <w:spacing w:after="0" w:line="480" w:lineRule="auto"/>
      <w:ind w:firstLine="720"/>
    </w:pPr>
    <w:rPr>
      <w:rFonts w:ascii="Times New Roman" w:eastAsia="Times New Roman" w:hAnsi="Times New Roman" w:cs="Times New Roman"/>
      <w:spacing w:val="-2"/>
      <w:sz w:val="24"/>
      <w:szCs w:val="24"/>
    </w:rPr>
  </w:style>
  <w:style w:type="paragraph" w:styleId="NoSpacing">
    <w:name w:val="No Spacing"/>
    <w:uiPriority w:val="1"/>
    <w:qFormat/>
    <w:rsid w:val="00E03921"/>
    <w:pPr>
      <w:spacing w:after="0" w:line="240" w:lineRule="auto"/>
    </w:pPr>
  </w:style>
  <w:style w:type="character" w:customStyle="1" w:styleId="Heading1Char">
    <w:name w:val="Heading 1 Char"/>
    <w:basedOn w:val="DefaultParagraphFont"/>
    <w:link w:val="Heading1"/>
    <w:uiPriority w:val="9"/>
    <w:rsid w:val="000821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Virginia&amp;db=711&amp;rs=WLW12.10&amp;tc=-1&amp;rp=%2ffind%2fdefault.wl&amp;findtype=Y&amp;ordoc=2028540740&amp;serialnum=1993122324&amp;vr=2.0&amp;fn=_top&amp;sv=Split&amp;tf=-1&amp;pbc=25A9EE40&amp;utid=1"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1.next.westlaw.com/Link/Document/FullText?findType=Y&amp;serNum=1997253839&amp;pubNum=0000999&amp;originatingDoc=Ie7ebcbb253e011d9b17ee4cdc604a702&amp;refType=RP&amp;originationContext=document&amp;transitionType=DocumentItem&amp;contextData=(sc.RelatedInfo)" TargetMode="External"/><Relationship Id="rId23" Type="http://schemas.openxmlformats.org/officeDocument/2006/relationships/theme" Target="theme/theme1.xml"/><Relationship Id="rId10" Type="http://schemas.openxmlformats.org/officeDocument/2006/relationships/hyperlink" Target="https://1.next.westlaw.com/Link/Document/FullText?findType=Y&amp;serNum=1997253763&amp;pubNum=0000999&amp;originatingDoc=Ie7ebcbb253e011d9b17ee4cdc604a702&amp;refType=RP&amp;originationContext=document&amp;transitionType=DocumentItem&amp;contextData=(sc.RelatedIn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eb2.westlaw.com/find/default.wl?mt=Virginia&amp;db=711&amp;rs=WLW12.10&amp;tc=-1&amp;rp=%2ffind%2fdefault.wl&amp;findtype=Y&amp;ordoc=2028540740&amp;serialnum=1993087133&amp;vr=2.0&amp;fn=_top&amp;sv=Split&amp;tf=-1&amp;pbc=25A9EE40&amp;utid=1" TargetMode="External"/><Relationship Id="rId14" Type="http://schemas.openxmlformats.org/officeDocument/2006/relationships/control" Target="activeX/activeX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1997253839&amp;pubNum=0000999&amp;originatingDoc=Ie7ebcbb253e011d9b17ee4cdc604a702&amp;refType=RP&amp;originationContext=document&amp;transitionType=DocumentItem&amp;contextData=(sc.RelatedInfo)" TargetMode="External"/><Relationship Id="rId2" Type="http://schemas.openxmlformats.org/officeDocument/2006/relationships/control" Target="activeX/activeX3.xml"/><Relationship Id="rId1"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5A89-30E7-42E7-A598-66B320C6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13</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Downey</dc:creator>
  <cp:keywords/>
  <dc:description/>
  <cp:lastModifiedBy>Jeff Downey</cp:lastModifiedBy>
  <cp:revision>10</cp:revision>
  <cp:lastPrinted>2022-06-07T19:23:00Z</cp:lastPrinted>
  <dcterms:created xsi:type="dcterms:W3CDTF">2022-06-01T13:59:00Z</dcterms:created>
  <dcterms:modified xsi:type="dcterms:W3CDTF">2022-06-27T12:53:00Z</dcterms:modified>
</cp:coreProperties>
</file>